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台州市科创投资集团有限公司</w:t>
      </w:r>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及其所属企业</w:t>
      </w: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简介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台州市科创投资集团有限公司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台州市科创投资集团有限公司成立于2024年1月，由原台州金投集团和台州人才集团合并新设，</w:t>
      </w:r>
      <w:r>
        <w:rPr>
          <w:rFonts w:hint="eastAsia" w:ascii="仿宋_GB2312" w:hAnsi="仿宋_GB2312" w:eastAsia="仿宋_GB2312" w:cs="仿宋_GB2312"/>
          <w:sz w:val="32"/>
          <w:szCs w:val="32"/>
        </w:rPr>
        <w:t>是市国资委一级监管企业</w:t>
      </w:r>
      <w:r>
        <w:rPr>
          <w:rFonts w:hint="eastAsia" w:ascii="仿宋_GB2312" w:hAnsi="仿宋_GB2312" w:eastAsia="仿宋_GB2312" w:cs="仿宋_GB2312"/>
          <w:sz w:val="32"/>
          <w:szCs w:val="32"/>
          <w:lang w:val="en-US" w:eastAsia="zh-CN"/>
        </w:rPr>
        <w:t>，注册资本60亿元，资产总额超250亿元。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锚定台州创新强市、人才强市发展战略，坚持服务台州实体经济发展主线，以基金管理、产业投资、园区运营、人才服务、金融服务为主责，积极构建科创产业集群、科创金融集群、科创人才集群，着力推动创新链、产业链、资金链、人才链融合，不断增强核心功能、提高核心竞争力，全力打造台州市科技创业创新主引擎，争创国内一流的科创投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台州市金投租赁有限公司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台州市金投租赁有限公司成立于2015年4月，注册</w:t>
      </w:r>
      <w:r>
        <w:rPr>
          <w:rFonts w:hint="default" w:ascii="仿宋_GB2312" w:hAnsi="Calibri" w:eastAsia="仿宋_GB2312" w:cs="仿宋_GB2312"/>
          <w:kern w:val="2"/>
          <w:sz w:val="32"/>
          <w:szCs w:val="32"/>
          <w:lang w:eastAsia="zh-CN" w:bidi="ar"/>
          <w:woUserID w:val="1"/>
        </w:rPr>
        <w:t>资本</w:t>
      </w:r>
      <w:r>
        <w:rPr>
          <w:rFonts w:hint="default" w:ascii="仿宋_GB2312" w:hAnsi="Calibri" w:eastAsia="仿宋_GB2312" w:cs="仿宋_GB2312"/>
          <w:kern w:val="2"/>
          <w:sz w:val="32"/>
          <w:szCs w:val="32"/>
          <w:lang w:val="en-US" w:eastAsia="zh-CN" w:bidi="ar"/>
        </w:rPr>
        <w:t>3.5亿元，系科创集团下属全资子公司。公司依托集团背景和平台，以</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服务地方经济，支持实体产业</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为经营宗旨，服务台州上市、拟上市、</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专精特新</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高新技术</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等企业，涵盖汽车零部件、医药化工、精密制造等多个行业。</w:t>
      </w:r>
      <w:r>
        <w:rPr>
          <w:rFonts w:hint="default" w:ascii="仿宋_GB2312" w:hAnsi="Calibri" w:eastAsia="仿宋_GB2312" w:cs="仿宋_GB2312"/>
          <w:kern w:val="2"/>
          <w:sz w:val="32"/>
          <w:szCs w:val="32"/>
          <w:lang w:eastAsia="zh-CN" w:bidi="ar"/>
          <w:woUserID w:val="1"/>
        </w:rPr>
        <w:t>公司成立以来，</w:t>
      </w:r>
      <w:r>
        <w:rPr>
          <w:rFonts w:hint="default" w:ascii="仿宋_GB2312" w:hAnsi="Calibri" w:eastAsia="仿宋_GB2312" w:cs="仿宋_GB2312"/>
          <w:kern w:val="2"/>
          <w:sz w:val="32"/>
          <w:szCs w:val="32"/>
          <w:lang w:val="en-US" w:eastAsia="zh-CN" w:bidi="ar"/>
        </w:rPr>
        <w:t>通过不断创新经营模式，已形成本地化、差异化、特色化的金融服务模式。截至目前，公司年均走访企业1000家次，累计服务台州企业2</w:t>
      </w:r>
      <w:r>
        <w:rPr>
          <w:rFonts w:hint="default" w:ascii="仿宋_GB2312" w:hAnsi="Calibri" w:eastAsia="仿宋_GB2312" w:cs="仿宋_GB2312"/>
          <w:kern w:val="2"/>
          <w:sz w:val="32"/>
          <w:szCs w:val="32"/>
          <w:lang w:eastAsia="zh-CN" w:bidi="ar"/>
        </w:rPr>
        <w:t>1</w:t>
      </w:r>
      <w:r>
        <w:rPr>
          <w:rFonts w:hint="default" w:ascii="仿宋_GB2312" w:hAnsi="Calibri" w:eastAsia="仿宋_GB2312" w:cs="仿宋_GB2312"/>
          <w:kern w:val="2"/>
          <w:sz w:val="32"/>
          <w:szCs w:val="32"/>
          <w:lang w:val="en-US" w:eastAsia="zh-CN" w:bidi="ar"/>
        </w:rPr>
        <w:t>0余家，累计投放超160亿元，获评</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台州市先进基层党组织</w:t>
      </w:r>
      <w:r>
        <w:rPr>
          <w:rFonts w:hint="eastAsia" w:ascii="仿宋_GB2312" w:hAnsi="仿宋_GB2312" w:eastAsia="仿宋_GB2312" w:cs="仿宋_GB2312"/>
          <w:sz w:val="32"/>
          <w:szCs w:val="32"/>
          <w:lang w:val="en-US" w:eastAsia="zh-CN"/>
        </w:rPr>
        <w:t>”</w:t>
      </w:r>
      <w:r>
        <w:rPr>
          <w:rFonts w:hint="default" w:ascii="仿宋_GB2312" w:hAnsi="Calibri" w:eastAsia="仿宋_GB2312" w:cs="仿宋_GB2312"/>
          <w:kern w:val="2"/>
          <w:sz w:val="32"/>
          <w:szCs w:val="32"/>
          <w:lang w:val="en-US" w:eastAsia="zh-CN" w:bidi="ar"/>
        </w:rPr>
        <w:t>，入选浙江省国资国企营商环境改革创新示范案例。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台州市金投私募基金管理有限公司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台州市金投私募基金管理有限公司成立于</w:t>
      </w:r>
      <w:r>
        <w:rPr>
          <w:rFonts w:hint="default"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月，注册</w:t>
      </w:r>
      <w:r>
        <w:rPr>
          <w:rFonts w:hint="default" w:ascii="仿宋_GB2312" w:hAnsi="仿宋_GB2312" w:eastAsia="仿宋_GB2312" w:cs="仿宋_GB2312"/>
          <w:sz w:val="32"/>
          <w:szCs w:val="32"/>
          <w:lang w:eastAsia="zh-CN"/>
          <w:woUserID w:val="1"/>
        </w:rPr>
        <w:t>资本</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亿元，系科创集团下属全资子公司。公司拥有私募基金管理人牌照，负责管理台州市本级政府产业基金</w:t>
      </w:r>
      <w:r>
        <w:rPr>
          <w:rFonts w:hint="default" w:ascii="仿宋_GB2312" w:hAnsi="仿宋_GB2312" w:eastAsia="仿宋_GB2312" w:cs="仿宋_GB2312"/>
          <w:sz w:val="32"/>
          <w:szCs w:val="32"/>
          <w:lang w:eastAsia="zh-CN"/>
          <w:woUserID w:val="1"/>
        </w:rPr>
        <w:t>。公司</w:t>
      </w:r>
      <w:r>
        <w:rPr>
          <w:rFonts w:hint="eastAsia" w:ascii="仿宋_GB2312" w:hAnsi="仿宋_GB2312" w:eastAsia="仿宋_GB2312" w:cs="仿宋_GB2312"/>
          <w:sz w:val="32"/>
          <w:szCs w:val="32"/>
          <w:lang w:val="en-US" w:eastAsia="zh-CN"/>
        </w:rPr>
        <w:t>锚定“三大牵引性抓手”战略部署，以产业平台提能升级为主攻方向，充分发挥政府产业基金政策引导与资源聚合效能，致力于通过做大做优基金，不断完善未来产业投资布局。公司下设临港母基金、优化母基金、科创母基金三大母基金。公司旗下管理子基金</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余支，管理总规模超</w:t>
      </w:r>
      <w:r>
        <w:rPr>
          <w:rFonts w:hint="default"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val="en-US" w:eastAsia="zh-CN"/>
        </w:rPr>
        <w:t>亿元，</w:t>
      </w:r>
      <w:r>
        <w:rPr>
          <w:rFonts w:hint="default" w:ascii="仿宋_GB2312" w:hAnsi="仿宋_GB2312" w:eastAsia="仿宋_GB2312" w:cs="仿宋_GB2312"/>
          <w:sz w:val="32"/>
          <w:szCs w:val="32"/>
          <w:lang w:eastAsia="zh-CN"/>
          <w:woUserID w:val="1"/>
        </w:rPr>
        <w:t>先后</w:t>
      </w:r>
      <w:r>
        <w:rPr>
          <w:rFonts w:hint="eastAsia" w:ascii="仿宋_GB2312" w:hAnsi="仿宋_GB2312" w:eastAsia="仿宋_GB2312" w:cs="仿宋_GB2312"/>
          <w:sz w:val="32"/>
          <w:szCs w:val="32"/>
          <w:lang w:val="en-US" w:eastAsia="zh-CN"/>
        </w:rPr>
        <w:t>投资海光信息、沐熙、壁仞等</w:t>
      </w:r>
      <w:r>
        <w:rPr>
          <w:rFonts w:hint="default"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多个项目，覆盖低空经济、半导体、高端精密制造等多个领域。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台州市资管股权投资有限公司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台州市资管股权投资有限公司是台州市科创投资集团有限公司的下属全资公司，公司注册资本3亿元。公司主营业务为通过参与非公发行、可转债、战略配售基金、股票质押融资、配股、股票收益互换等方式盘活存量股权资产以及开展资本市场相关投资，实现国有资产保值增值。同时为上市公司和骨干民营企业等提供资金支持，降低企业融资成本，改善企业融资环境。资管业务累计服务数十家台州市内外上市公司及优秀民营企业，服务金额超60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台州市台创生态园开发有限公司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台州市台创生态园开发有限公司位于浙江省台州市台州湾新区核心区，是台州市科创投资集团有限公司旗下控股子公司。公司成立于2024年12月5日，注册资本2亿元。公司以建设运营高品质科创园区为核心，搭建产业发展平台，通过资源整合、服务创新和生态构建，推动科技企业发展、促进产学研融合、加速科技成果转化。公司</w:t>
      </w:r>
      <w:r>
        <w:rPr>
          <w:rFonts w:hint="default" w:ascii="仿宋_GB2312" w:hAnsi="仿宋_GB2312" w:eastAsia="仿宋_GB2312" w:cs="仿宋_GB2312"/>
          <w:sz w:val="32"/>
          <w:szCs w:val="32"/>
          <w:lang w:eastAsia="zh-CN"/>
          <w:woUserID w:val="1"/>
        </w:rPr>
        <w:t>目前</w:t>
      </w:r>
      <w:r>
        <w:rPr>
          <w:rFonts w:hint="default" w:ascii="仿宋_GB2312" w:hAnsi="仿宋_GB2312" w:eastAsia="仿宋_GB2312" w:cs="仿宋_GB2312"/>
          <w:sz w:val="32"/>
          <w:szCs w:val="32"/>
          <w:lang w:eastAsia="zh-CN"/>
        </w:rPr>
        <w:t>正在建设的台州湾科创生态园</w:t>
      </w:r>
      <w:r>
        <w:rPr>
          <w:rFonts w:hint="default" w:ascii="仿宋_GB2312" w:hAnsi="仿宋_GB2312" w:eastAsia="仿宋_GB2312" w:cs="仿宋_GB2312"/>
          <w:sz w:val="32"/>
          <w:szCs w:val="32"/>
          <w:lang w:eastAsia="zh-CN"/>
          <w:woUserID w:val="1"/>
        </w:rPr>
        <w:t>项目，</w:t>
      </w:r>
      <w:r>
        <w:rPr>
          <w:rFonts w:hint="default" w:ascii="仿宋_GB2312" w:hAnsi="仿宋_GB2312" w:eastAsia="仿宋_GB2312" w:cs="仿宋_GB2312"/>
          <w:sz w:val="32"/>
          <w:szCs w:val="32"/>
          <w:lang w:eastAsia="zh-CN"/>
          <w:woUserID w:val="1"/>
        </w:rPr>
        <w:t>占地124亩</w:t>
      </w:r>
      <w:r>
        <w:rPr>
          <w:rFonts w:hint="default" w:ascii="仿宋_GB2312" w:hAnsi="仿宋_GB2312" w:eastAsia="仿宋_GB2312" w:cs="仿宋_GB2312"/>
          <w:sz w:val="32"/>
          <w:szCs w:val="32"/>
          <w:lang w:eastAsia="zh-CN"/>
          <w:woUserID w:val="1"/>
        </w:rPr>
        <w:t>，建筑面积</w:t>
      </w:r>
      <w:r>
        <w:rPr>
          <w:rFonts w:hint="default" w:ascii="仿宋_GB2312" w:hAnsi="仿宋_GB2312" w:eastAsia="仿宋_GB2312" w:cs="仿宋_GB2312"/>
          <w:sz w:val="32"/>
          <w:szCs w:val="32"/>
          <w:lang w:eastAsia="zh-CN"/>
          <w:woUserID w:val="1"/>
        </w:rPr>
        <w:t>约24万平方米</w:t>
      </w:r>
      <w:r>
        <w:rPr>
          <w:rFonts w:hint="default" w:ascii="仿宋_GB2312" w:hAnsi="仿宋_GB2312" w:eastAsia="仿宋_GB2312" w:cs="仿宋_GB2312"/>
          <w:sz w:val="32"/>
          <w:szCs w:val="32"/>
          <w:lang w:eastAsia="zh-CN"/>
          <w:woUserID w:val="1"/>
        </w:rPr>
        <w:t>，</w:t>
      </w:r>
      <w:r>
        <w:rPr>
          <w:rFonts w:hint="default" w:ascii="仿宋_GB2312" w:hAnsi="仿宋_GB2312" w:eastAsia="仿宋_GB2312" w:cs="仿宋_GB2312"/>
          <w:sz w:val="32"/>
          <w:szCs w:val="32"/>
          <w:lang w:eastAsia="zh-CN"/>
        </w:rPr>
        <w:t>将打造集研发、中试、产业化于一体的科创综合体。同时，公司负责管理台州市高新技术创业服务中心（国家级科技企业孵化器），以构建“孵化-加速-产业化”全链条服务体系，为初创企业提供政策辅导、资源对接、投融资等专业化服务，助力科技型中小企业快速成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浙江台科企业管理有限公司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浙江台科企业管理有限公司成立于2021年4月，注册资金5000万元，系科创集团下属全资子公司。公司立足</w:t>
      </w:r>
      <w:r>
        <w:rPr>
          <w:rFonts w:hint="default" w:ascii="仿宋_GB2312" w:hAnsi="仿宋_GB2312" w:eastAsia="仿宋_GB2312" w:cs="仿宋_GB2312"/>
          <w:sz w:val="32"/>
          <w:szCs w:val="32"/>
          <w:lang w:eastAsia="zh-CN"/>
          <w:woUserID w:val="1"/>
        </w:rPr>
        <w:t>长期资本、耐心资本的功能定位，围绕</w:t>
      </w:r>
      <w:r>
        <w:rPr>
          <w:rFonts w:hint="default" w:ascii="仿宋_GB2312" w:hAnsi="仿宋_GB2312" w:eastAsia="仿宋_GB2312" w:cs="仿宋_GB2312"/>
          <w:sz w:val="32"/>
          <w:szCs w:val="32"/>
          <w:lang w:eastAsia="zh-CN"/>
        </w:rPr>
        <w:t>台州市新质生产力发展要求，</w:t>
      </w:r>
      <w:bookmarkStart w:id="0" w:name="_GoBack"/>
      <w:bookmarkEnd w:id="0"/>
      <w:r>
        <w:rPr>
          <w:rFonts w:hint="default" w:ascii="仿宋_GB2312" w:hAnsi="仿宋_GB2312" w:eastAsia="仿宋_GB2312" w:cs="仿宋_GB2312"/>
          <w:sz w:val="32"/>
          <w:szCs w:val="32"/>
          <w:lang w:eastAsia="zh-CN"/>
        </w:rPr>
        <w:t>集聚科技创新、产业项目、高层次人才、资本要素，精准开展未来产业投资招引、项目投后运营管理等工作。公司深耕本地优质企业、抓实招引项目投资落地，推进区域产业链创新链深度融合，赋能科创产业长期价值培育，为台州经济高质量发展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332B"/>
    <w:rsid w:val="07D878C8"/>
    <w:rsid w:val="1C706440"/>
    <w:rsid w:val="293E3088"/>
    <w:rsid w:val="33BD5C0C"/>
    <w:rsid w:val="36EDFFA9"/>
    <w:rsid w:val="420A32BA"/>
    <w:rsid w:val="52EF7742"/>
    <w:rsid w:val="5BB933EE"/>
    <w:rsid w:val="61DDEBB4"/>
    <w:rsid w:val="6367332B"/>
    <w:rsid w:val="67135D62"/>
    <w:rsid w:val="6BD70272"/>
    <w:rsid w:val="6EF902E9"/>
    <w:rsid w:val="74743C3E"/>
    <w:rsid w:val="759F3BB1"/>
    <w:rsid w:val="7A6E1C21"/>
    <w:rsid w:val="7BF0138F"/>
    <w:rsid w:val="7EF7B2F3"/>
    <w:rsid w:val="7F9BD724"/>
    <w:rsid w:val="9F3E2C5E"/>
    <w:rsid w:val="BFFDB1E2"/>
    <w:rsid w:val="C736251F"/>
    <w:rsid w:val="CFED534A"/>
    <w:rsid w:val="DF5EE6CD"/>
    <w:rsid w:val="E89B6F73"/>
    <w:rsid w:val="EAF527EC"/>
    <w:rsid w:val="EBFE2C00"/>
    <w:rsid w:val="F8EBE6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标题 2 Char"/>
    <w:link w:val="2"/>
    <w:qFormat/>
    <w:uiPriority w:val="0"/>
    <w:rPr>
      <w:rFonts w:hint="eastAsia" w:ascii="宋体" w:hAnsi="宋体" w:eastAsia="宋体" w:cs="宋体"/>
      <w:b/>
      <w:bCs/>
      <w:kern w:val="0"/>
      <w:sz w:val="30"/>
      <w:szCs w:val="36"/>
      <w:lang w:val="en-US" w:eastAsia="zh-CN" w:bidi="ar"/>
    </w:rPr>
  </w:style>
  <w:style w:type="paragraph" w:customStyle="1" w:styleId="6">
    <w:name w:val="样式2"/>
    <w:basedOn w:val="1"/>
    <w:next w:val="1"/>
    <w:uiPriority w:val="0"/>
    <w:pPr>
      <w:keepNext/>
      <w:keepLines/>
      <w:spacing w:beforeLines="0" w:afterLines="0" w:line="240" w:lineRule="auto"/>
      <w:outlineLvl w:val="3"/>
    </w:pPr>
    <w:rPr>
      <w:rFonts w:ascii="Arial" w:hAnsi="Arial" w:eastAsia="黑体"/>
      <w:b/>
      <w:sz w:val="28"/>
    </w:rPr>
  </w:style>
  <w:style w:type="paragraph" w:customStyle="1" w:styleId="7">
    <w:name w:val="样式A一级"/>
    <w:basedOn w:val="1"/>
    <w:next w:val="1"/>
    <w:qFormat/>
    <w:uiPriority w:val="0"/>
    <w:pPr>
      <w:keepNext/>
      <w:keepLines/>
      <w:spacing w:beforeLines="0" w:afterLines="0" w:line="560" w:lineRule="exact"/>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2026-04-11T18:57:00Z</dcterms:created>
  <dc:creator>安蕾</dc:creator>
  <cp:lastModifiedBy>LOVE·UU</cp:lastModifiedBy>
  <dcterms:modified xsi:type="dcterms:W3CDTF">2026-04-28T12:52:57Z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CAFE9F9FFDC543F286C69DEDA95B3555_11</vt:lpwstr>
  </property>
  <property fmtid="{D5CDD505-2E9C-101B-9397-08002B2CF9AE}" pid="4" name="KSOTemplateDocerSaveRecord">
    <vt:lpwstr>eyJoZGlkIjoiZDFkNWNmMzdmMGI0NWIyNTlkOWZhYTQ3YmQ1NzNmZWQiLCJ1c2VySWQiOiIxNDgxMjE0MjU4In0=</vt:lpwstr>
  </property>
</Properties>
</file>