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4F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5693F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1186D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2026年曲靖市“珠源百人引才工程”青年人才专项第二轮“双一流”建设高校名单</w:t>
      </w:r>
    </w:p>
    <w:bookmarkEnd w:id="0"/>
    <w:p w14:paraId="00514B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A904F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录一（36所）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。</w:t>
      </w:r>
    </w:p>
    <w:p w14:paraId="40AC6D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录二（111所）：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。</w:t>
      </w:r>
    </w:p>
    <w:p w14:paraId="0A602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16C4C"/>
    <w:rsid w:val="1371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autoRedefine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2026-04-28T07:18:00Z</dcterms:created>
  <dc:creator>范航恺</dc:creator>
  <cp:lastModifiedBy>范航恺</cp:lastModifiedBy>
  <dcterms:modified xsi:type="dcterms:W3CDTF">2026-04-28T07:18:27Z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23D412AFB0F54A3FBEC7D21795D1F7FC_11</vt:lpwstr>
  </property>
  <property fmtid="{D5CDD505-2E9C-101B-9397-08002B2CF9AE}" pid="4" name="KSOTemplateDocerSaveRecord">
    <vt:lpwstr>eyJoZGlkIjoiZjhhOTU5NzI3ZDhjYWE3OGZjZDI5NjU2OWM4YzVhYmMiLCJ1c2VySWQiOiIxNTE4NjE0NDk1In0=</vt:lpwstr>
  </property>
</Properties>
</file>