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3400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7F68AA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宁波经济技术开发区化工产业安全生产管理服务中心</w:t>
      </w:r>
      <w:r>
        <w:rPr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年公开招聘安全生产技术检查员岗位表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541"/>
        <w:gridCol w:w="574"/>
        <w:gridCol w:w="1065"/>
        <w:gridCol w:w="1485"/>
        <w:gridCol w:w="3656"/>
        <w:gridCol w:w="3405"/>
        <w:gridCol w:w="915"/>
      </w:tblGrid>
      <w:tr w14:paraId="435E1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DB7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1623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招录岗位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02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招录人数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DB7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443C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28D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4F42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其他资格要求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2EEE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FBA4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4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3E8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483C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安全生产技术检查员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724F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1F59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后出生；具有化工行业领域高级专业技术职称的年龄可放宽至45周岁及以下，即要求1981年3月31日及以后出生。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8DE4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837F5">
            <w:pPr>
              <w:pStyle w:val="4"/>
              <w:adjustRightInd w:val="0"/>
              <w:snapToGrid w:val="0"/>
              <w:ind w:left="0" w:leftChars="0" w:firstLine="0" w:firstLineChars="0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化学工程与工艺、化工安全工程专业、过程装备与控制工程专业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C9F1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具有化工行业领域中级及以上专业技术职称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和中级注册安全工程师及以上职业资格，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具有在化工企业一线从事相关专业工作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年及以上经历；或具有在化工类设计院从事相关专业设计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年及以上经历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；或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具有在安全评价机构从事化工相关专业评价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年及以上经历。</w:t>
            </w:r>
          </w:p>
          <w:p w14:paraId="21D91B3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具有化工行业领域高级专业技术职称的年龄可放宽至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Style w:val="8"/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岁及以</w:t>
            </w:r>
            <w:r>
              <w:rPr>
                <w:rFonts w:hint="eastAsia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下。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41D5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适合</w:t>
            </w:r>
          </w:p>
          <w:p w14:paraId="1AB2674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男性；</w:t>
            </w:r>
          </w:p>
        </w:tc>
      </w:tr>
    </w:tbl>
    <w:p w14:paraId="15AEF21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BF"/>
    <w:rsid w:val="009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340" w:after="330" w:line="576" w:lineRule="auto"/>
      <w:jc w:val="left"/>
      <w:outlineLvl w:val="0"/>
    </w:pPr>
    <w:rPr>
      <w:rFonts w:ascii="Times New Roman" w:hAnsi="Times New Roman" w:eastAsia="宋体" w:cs="Times New Roman"/>
      <w:b/>
      <w:kern w:val="44"/>
      <w:sz w:val="44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2026-04-22T08:54:00Z</dcterms:created>
  <dc:creator>☁️</dc:creator>
  <cp:lastModifiedBy>☁️</cp:lastModifiedBy>
  <dcterms:modified xsi:type="dcterms:W3CDTF">2026-04-22T08:55:17Z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0D40E4C670504316BE9B47E6C625718A_11</vt:lpwstr>
  </property>
  <property fmtid="{D5CDD505-2E9C-101B-9397-08002B2CF9AE}" pid="4" name="KSOTemplateDocerSaveRecord">
    <vt:lpwstr>eyJoZGlkIjoiZDYxMWE0ZGQ4OTg5ZTA5M2Y2YTU1MmMxMzgxM2U5ODciLCJ1c2VySWQiOiIxMTUxMzMyMjUzIn0=</vt:lpwstr>
  </property>
</Properties>
</file>