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0D698">
      <w:pPr>
        <w:pStyle w:val="2"/>
        <w:pageBreakBefore w:val="0"/>
        <w:widowControl w:val="0"/>
        <w:kinsoku/>
        <w:wordWrap/>
        <w:autoSpaceDE/>
        <w:autoSpaceDN/>
        <w:bidi w:val="0"/>
        <w:adjustRightInd/>
        <w:snapToGrid/>
        <w:spacing w:beforeLines="0" w:afterLines="0" w:line="600" w:lineRule="exact"/>
        <w:ind w:left="0" w:leftChars="0" w:firstLine="0" w:firstLineChars="0"/>
        <w:jc w:val="center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  <w:bookmarkStart w:id="0" w:name="heading_12"/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color w:val="auto"/>
          <w:sz w:val="44"/>
          <w:szCs w:val="44"/>
        </w:rPr>
        <w:t>鄱阳湖体育中心运营</w:t>
      </w:r>
      <w:r>
        <w:rPr>
          <w:rFonts w:hint="eastAsia"/>
          <w:color w:val="auto"/>
          <w:sz w:val="44"/>
          <w:szCs w:val="44"/>
          <w:lang w:val="en-US" w:eastAsia="zh-CN"/>
        </w:rPr>
        <w:t>总监岗位</w:t>
      </w:r>
    </w:p>
    <w:p w14:paraId="549C9CE6">
      <w:pPr>
        <w:pStyle w:val="2"/>
        <w:pageBreakBefore w:val="0"/>
        <w:widowControl w:val="0"/>
        <w:kinsoku/>
        <w:wordWrap/>
        <w:autoSpaceDE/>
        <w:autoSpaceDN/>
        <w:bidi w:val="0"/>
        <w:adjustRightInd/>
        <w:snapToGrid/>
        <w:spacing w:beforeLines="0" w:afterLines="0" w:line="600" w:lineRule="exact"/>
        <w:ind w:left="0" w:leftChars="0" w:firstLine="0" w:firstLineChars="0"/>
        <w:jc w:val="center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  <w:r>
        <w:rPr>
          <w:rFonts w:hint="eastAsia"/>
          <w:color w:val="auto"/>
          <w:sz w:val="44"/>
          <w:szCs w:val="44"/>
          <w:lang w:val="en-US" w:eastAsia="zh-CN"/>
        </w:rPr>
        <w:t>考核指标及薪酬体系</w:t>
      </w:r>
    </w:p>
    <w:p w14:paraId="7CF4BC79">
      <w:pPr>
        <w:pStyle w:val="2"/>
        <w:pageBreakBefore w:val="0"/>
        <w:widowControl w:val="0"/>
        <w:kinsoku/>
        <w:wordWrap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/>
          <w:color w:val="auto"/>
          <w:lang w:val="en-US" w:eastAsia="zh-CN"/>
        </w:rPr>
      </w:pPr>
    </w:p>
    <w:p w14:paraId="50FD1112">
      <w:pPr>
        <w:pStyle w:val="2"/>
        <w:pageBreakBefore w:val="0"/>
        <w:widowControl w:val="0"/>
        <w:kinsoku/>
        <w:wordWrap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ascii="黑体" w:hAnsi="黑体" w:eastAsia="黑体" w:cs="黑体"/>
          <w:color w:val="auto"/>
        </w:rPr>
      </w:pPr>
      <w:r>
        <w:rPr>
          <w:rFonts w:hint="eastAsia" w:cs="黑体"/>
          <w:color w:val="auto"/>
          <w:lang w:val="en-US" w:eastAsia="zh-CN"/>
        </w:rPr>
        <w:t>一</w:t>
      </w:r>
      <mc:AlternateContent>
        <mc:Choice Requires="wpsCustomData">
          <wpsCustomData:docfieldEnd id="0"/>
        </mc:Choice>
      </mc:AlternateContent>
      <w:r>
        <w:rPr>
          <w:rFonts w:hint="eastAsia" w:ascii="黑体" w:hAnsi="黑体" w:eastAsia="黑体" w:cs="黑体"/>
          <w:color w:val="auto"/>
          <w:lang w:val="en-US" w:eastAsia="zh-CN"/>
        </w:rPr>
        <w:t>、</w:t>
      </w:r>
      <w:r>
        <w:rPr>
          <w:rFonts w:ascii="黑体" w:hAnsi="黑体" w:eastAsia="黑体" w:cs="黑体"/>
          <w:color w:val="auto"/>
        </w:rPr>
        <w:t>核心考核指标</w:t>
      </w:r>
      <w:bookmarkEnd w:id="0"/>
    </w:p>
    <w:p w14:paraId="7D3AECAB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color w:val="auto"/>
        </w:rPr>
        <w:t>考核以年度为周期，分为</w:t>
      </w:r>
      <w:r>
        <w:rPr>
          <w:b/>
          <w:color w:val="auto"/>
        </w:rPr>
        <w:t>定量指标（占比80％）和定性指标（占比20％）</w:t>
      </w:r>
      <w:r>
        <w:rPr>
          <w:color w:val="auto"/>
        </w:rPr>
        <w:t>，考核结果作为薪酬激励、盈利分成、岗位调整的核心依据，未达标则取消当年盈利分成资格。考核工作由运营总经理牵头组织实施。</w:t>
      </w:r>
    </w:p>
    <w:p w14:paraId="4933188D">
      <w:pPr>
        <w:pStyle w:val="1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</w:pPr>
      <w:bookmarkStart w:id="1" w:name="heading_13"/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）定量考核指标（80％）</w:t>
      </w:r>
      <w:bookmarkEnd w:id="1"/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2"/>
        <w:gridCol w:w="1510"/>
        <w:gridCol w:w="2592"/>
        <w:gridCol w:w="792"/>
        <w:gridCol w:w="2843"/>
      </w:tblGrid>
      <w:tr w14:paraId="4FC9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9D9FA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考核维度</w:t>
            </w:r>
          </w:p>
        </w:tc>
        <w:tc>
          <w:tcPr>
            <w:tcW w:w="8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D67E3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指标名称</w:t>
            </w:r>
          </w:p>
        </w:tc>
        <w:tc>
          <w:tcPr>
            <w:tcW w:w="1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1DD55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年度</w:t>
            </w:r>
            <w:r>
              <w:rPr>
                <w:rFonts w:ascii="Arial" w:hAnsi="Arial" w:eastAsia="等线" w:cs="Arial"/>
                <w:sz w:val="22"/>
              </w:rPr>
              <w:t>目标</w:t>
            </w:r>
          </w:p>
        </w:tc>
        <w:tc>
          <w:tcPr>
            <w:tcW w:w="4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1FDE1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权重</w:t>
            </w:r>
          </w:p>
        </w:tc>
        <w:tc>
          <w:tcPr>
            <w:tcW w:w="15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E656A2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评分规则</w:t>
            </w:r>
          </w:p>
        </w:tc>
      </w:tr>
      <w:tr w14:paraId="1554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4F568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社会效益</w:t>
            </w:r>
          </w:p>
        </w:tc>
        <w:tc>
          <w:tcPr>
            <w:tcW w:w="8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662A2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公益开放</w:t>
            </w:r>
          </w:p>
        </w:tc>
        <w:tc>
          <w:tcPr>
            <w:tcW w:w="1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E7CC4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全年免费／低收费开放≥330天，每日开放时长≥8小时，开放区域全覆盖，达标率100％</w:t>
            </w:r>
          </w:p>
        </w:tc>
        <w:tc>
          <w:tcPr>
            <w:tcW w:w="4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7F566F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10%</w:t>
            </w:r>
          </w:p>
        </w:tc>
        <w:tc>
          <w:tcPr>
            <w:tcW w:w="15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BE130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每少1天扣2分，时长不足／区域未覆盖每次扣1分，扣完为止</w:t>
            </w:r>
          </w:p>
        </w:tc>
      </w:tr>
      <w:tr w14:paraId="27FE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E09AB">
            <w:pPr>
              <w:spacing w:before="120" w:after="120" w:line="288" w:lineRule="auto"/>
              <w:ind w:left="0" w:leftChars="0" w:firstLine="0" w:firstLineChars="0"/>
              <w:jc w:val="center"/>
            </w:pPr>
          </w:p>
        </w:tc>
        <w:tc>
          <w:tcPr>
            <w:tcW w:w="8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1ABE4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公益服务</w:t>
            </w:r>
          </w:p>
        </w:tc>
        <w:tc>
          <w:tcPr>
            <w:tcW w:w="1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F3D5F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年度免费／低收费服务群众≥15万人次（含体育培训公益体验、群众性体育活动参与人次）</w:t>
            </w:r>
          </w:p>
        </w:tc>
        <w:tc>
          <w:tcPr>
            <w:tcW w:w="4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51D6B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10%</w:t>
            </w:r>
          </w:p>
        </w:tc>
        <w:tc>
          <w:tcPr>
            <w:tcW w:w="15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6CB90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未达基准值不得分，每超额1万人次加1分，最多加5分</w:t>
            </w:r>
          </w:p>
        </w:tc>
      </w:tr>
      <w:tr w14:paraId="03BC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94C58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赛事活动</w:t>
            </w:r>
          </w:p>
        </w:tc>
        <w:tc>
          <w:tcPr>
            <w:tcW w:w="8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01DC5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县内赛事</w:t>
            </w:r>
          </w:p>
        </w:tc>
        <w:tc>
          <w:tcPr>
            <w:tcW w:w="1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EDE73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1.</w:t>
            </w:r>
            <w:r>
              <w:rPr>
                <w:rFonts w:ascii="Arial" w:hAnsi="Arial" w:eastAsia="等线" w:cs="Arial"/>
                <w:sz w:val="22"/>
              </w:rPr>
              <w:t>完成</w:t>
            </w:r>
            <w:r>
              <w:rPr>
                <w:rFonts w:ascii="Arial" w:hAnsi="Arial" w:eastAsia="等线" w:cs="Arial"/>
                <w:b/>
                <w:sz w:val="22"/>
              </w:rPr>
              <w:t>县城本土体育赛事筹办3场</w:t>
            </w:r>
            <w:r>
              <w:rPr>
                <w:rFonts w:ascii="Arial" w:hAnsi="Arial" w:eastAsia="等线" w:cs="Arial"/>
                <w:sz w:val="22"/>
              </w:rPr>
              <w:t>（村BA、城市俱乐部篮球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足球赛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游泳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羽毛球赛等）</w:t>
            </w:r>
          </w:p>
        </w:tc>
        <w:tc>
          <w:tcPr>
            <w:tcW w:w="4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87414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0%</w:t>
            </w:r>
          </w:p>
        </w:tc>
        <w:tc>
          <w:tcPr>
            <w:tcW w:w="15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2FF02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县城本土赛事筹办低于3场每少1场扣3分，超5场每多1场加2分（最多加4分）</w:t>
            </w:r>
          </w:p>
        </w:tc>
      </w:tr>
      <w:tr w14:paraId="7A44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D2C63">
            <w:pPr>
              <w:spacing w:before="120" w:after="120" w:line="288" w:lineRule="auto"/>
              <w:ind w:left="0" w:leftChars="0" w:firstLine="0" w:firstLineChars="0"/>
              <w:jc w:val="center"/>
            </w:pPr>
          </w:p>
        </w:tc>
        <w:tc>
          <w:tcPr>
            <w:tcW w:w="8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7C0AF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群众活动</w:t>
            </w:r>
          </w:p>
        </w:tc>
        <w:tc>
          <w:tcPr>
            <w:tcW w:w="1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C118A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每年</w:t>
            </w:r>
            <w:r>
              <w:rPr>
                <w:rFonts w:ascii="Arial" w:hAnsi="Arial" w:eastAsia="等线" w:cs="Arial"/>
                <w:sz w:val="22"/>
              </w:rPr>
              <w:t>完成</w:t>
            </w:r>
            <w:r>
              <w:rPr>
                <w:rFonts w:ascii="Arial" w:hAnsi="Arial" w:eastAsia="等线" w:cs="Arial"/>
                <w:b/>
                <w:sz w:val="22"/>
              </w:rPr>
              <w:t>全民运动会、中学生运动会等群众性体育活动≥</w:t>
            </w:r>
            <w:r>
              <w:rPr>
                <w:rFonts w:hint="eastAsia" w:ascii="Arial" w:hAnsi="Arial" w:eastAsia="等线" w:cs="Arial"/>
                <w:b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b/>
                <w:sz w:val="22"/>
              </w:rPr>
              <w:t>场</w:t>
            </w:r>
            <w:r>
              <w:rPr>
                <w:rFonts w:ascii="Arial" w:hAnsi="Arial" w:eastAsia="等线" w:cs="Arial"/>
                <w:sz w:val="22"/>
              </w:rPr>
              <w:t>，活动组织规范、参与度达标</w:t>
            </w:r>
          </w:p>
        </w:tc>
        <w:tc>
          <w:tcPr>
            <w:tcW w:w="4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640E3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10%</w:t>
            </w:r>
          </w:p>
        </w:tc>
        <w:tc>
          <w:tcPr>
            <w:tcW w:w="15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3F2A20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未举办本项0分，少1场扣3分，活动组织不规范每次扣2分，扣完为止</w:t>
            </w:r>
          </w:p>
        </w:tc>
      </w:tr>
      <w:tr w14:paraId="75AB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E184D">
            <w:pPr>
              <w:spacing w:before="120" w:after="120" w:line="288" w:lineRule="auto"/>
              <w:ind w:left="0" w:leftChars="0" w:firstLine="0" w:firstLineChars="0"/>
              <w:jc w:val="center"/>
            </w:pPr>
          </w:p>
        </w:tc>
        <w:tc>
          <w:tcPr>
            <w:tcW w:w="8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25E74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引进活动</w:t>
            </w:r>
          </w:p>
        </w:tc>
        <w:tc>
          <w:tcPr>
            <w:tcW w:w="1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81905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引进</w:t>
            </w:r>
            <w:r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  <w:t>国家级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t>赛事</w:t>
            </w:r>
            <w:r>
              <w:rPr>
                <w:rFonts w:hint="eastAsia" w:ascii="Arial" w:hAnsi="Arial" w:eastAsia="等线" w:cs="Arial"/>
                <w:b/>
                <w:bCs/>
                <w:sz w:val="22"/>
                <w:lang w:val="en-US" w:eastAsia="zh-CN"/>
              </w:rPr>
              <w:t>活动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（如：中国匹克球巡回赛）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t>≥1场</w:t>
            </w:r>
          </w:p>
        </w:tc>
        <w:tc>
          <w:tcPr>
            <w:tcW w:w="4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5655B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0%</w:t>
            </w:r>
          </w:p>
        </w:tc>
        <w:tc>
          <w:tcPr>
            <w:tcW w:w="15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98465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未引进本项0分，活动落地出现合规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安全问题本项0分，引进超1场每多1场加2分（最多加4分）</w:t>
            </w:r>
          </w:p>
        </w:tc>
      </w:tr>
      <w:tr w14:paraId="3DF0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9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63816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F9856D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文娱活动</w:t>
            </w:r>
          </w:p>
        </w:tc>
        <w:tc>
          <w:tcPr>
            <w:tcW w:w="1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ABF39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年度引进演唱会、文艺汇演等</w:t>
            </w:r>
            <w:r>
              <w:rPr>
                <w:rFonts w:ascii="Arial" w:hAnsi="Arial" w:eastAsia="等线" w:cs="Arial"/>
                <w:b/>
                <w:sz w:val="22"/>
              </w:rPr>
              <w:t>文娱活动≥1场</w:t>
            </w:r>
            <w:r>
              <w:rPr>
                <w:rFonts w:ascii="Arial" w:hAnsi="Arial" w:eastAsia="等线" w:cs="Arial"/>
                <w:sz w:val="22"/>
              </w:rPr>
              <w:t>，活动落地执行合规、无安全事故</w:t>
            </w:r>
          </w:p>
        </w:tc>
        <w:tc>
          <w:tcPr>
            <w:tcW w:w="4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BBB63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10%</w:t>
            </w:r>
          </w:p>
        </w:tc>
        <w:tc>
          <w:tcPr>
            <w:tcW w:w="15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C90B7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未引进本项0分，活动落地出现合规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安全问题本项0分，引进超1场每多1场加2分（最多加4分）</w:t>
            </w:r>
          </w:p>
        </w:tc>
      </w:tr>
      <w:tr w14:paraId="47E5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AE49D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hint="default" w:ascii="Arial" w:hAnsi="Arial" w:eastAsia="等线" w:cs="Arial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b w:val="0"/>
                <w:bCs/>
                <w:sz w:val="22"/>
                <w:lang w:val="en-US" w:eastAsia="zh-CN"/>
              </w:rPr>
              <w:t>体育培训</w:t>
            </w:r>
          </w:p>
        </w:tc>
        <w:tc>
          <w:tcPr>
            <w:tcW w:w="8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F5A0A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ascii="Arial" w:hAnsi="Arial" w:eastAsia="等线" w:cs="Arial"/>
                <w:b w:val="0"/>
                <w:bCs/>
                <w:sz w:val="22"/>
              </w:rPr>
            </w:pPr>
            <w:r>
              <w:rPr>
                <w:rFonts w:ascii="Arial" w:hAnsi="Arial" w:eastAsia="等线" w:cs="Arial"/>
                <w:b w:val="0"/>
                <w:bCs/>
                <w:sz w:val="22"/>
              </w:rPr>
              <w:t>体育培训开展达标率</w:t>
            </w:r>
          </w:p>
        </w:tc>
        <w:tc>
          <w:tcPr>
            <w:tcW w:w="1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C2870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ascii="Arial" w:hAnsi="Arial" w:eastAsia="等线" w:cs="Arial"/>
                <w:b w:val="0"/>
                <w:bCs/>
                <w:sz w:val="22"/>
              </w:rPr>
            </w:pPr>
            <w:r>
              <w:rPr>
                <w:rFonts w:ascii="Arial" w:hAnsi="Arial" w:eastAsia="等线" w:cs="Arial"/>
                <w:b w:val="0"/>
                <w:bCs/>
                <w:sz w:val="22"/>
              </w:rPr>
              <w:t>完成篮球、游泳、羽毛球基础培训品类落地，逐步开展网球等品类，年度培训学员在册数≥</w:t>
            </w:r>
            <w:r>
              <w:rPr>
                <w:rFonts w:hint="eastAsia" w:ascii="Arial" w:hAnsi="Arial" w:eastAsia="等线" w:cs="Arial"/>
                <w:b w:val="0"/>
                <w:bCs/>
                <w:sz w:val="22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b w:val="0"/>
                <w:bCs/>
                <w:sz w:val="22"/>
              </w:rPr>
              <w:t>00人，培训课程完成率≥95</w:t>
            </w:r>
            <w:r>
              <w:rPr>
                <w:rFonts w:hint="eastAsia" w:ascii="Arial" w:hAnsi="Arial" w:eastAsia="等线" w:cs="Arial"/>
                <w:b w:val="0"/>
                <w:bCs/>
                <w:sz w:val="22"/>
                <w:lang w:eastAsia="zh-CN"/>
              </w:rPr>
              <w:t>％</w:t>
            </w:r>
          </w:p>
        </w:tc>
        <w:tc>
          <w:tcPr>
            <w:tcW w:w="4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7065F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ascii="Arial" w:hAnsi="Arial" w:eastAsia="等线" w:cs="Arial"/>
                <w:b w:val="0"/>
                <w:bCs/>
                <w:sz w:val="22"/>
              </w:rPr>
            </w:pPr>
            <w:r>
              <w:rPr>
                <w:rFonts w:hint="eastAsia" w:ascii="Arial" w:hAnsi="Arial" w:eastAsia="等线" w:cs="Arial"/>
                <w:b w:val="0"/>
                <w:bCs/>
                <w:sz w:val="22"/>
                <w:lang w:val="en-US" w:eastAsia="zh-CN"/>
              </w:rPr>
              <w:t>10%</w:t>
            </w:r>
          </w:p>
        </w:tc>
        <w:tc>
          <w:tcPr>
            <w:tcW w:w="15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B3EFA">
            <w:pPr>
              <w:spacing w:before="120" w:after="120" w:line="288" w:lineRule="auto"/>
              <w:ind w:left="0" w:leftChars="0" w:firstLine="0" w:firstLineChars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1.基础培训品类每少1项扣3分，开展网球等额外品类每项加2分（最多加4分）；2.学员在册数未达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00人扣2分，每超额100人加1分（最多加3分）；3.课程完成率未达95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％</w:t>
            </w:r>
            <w:r>
              <w:rPr>
                <w:rFonts w:ascii="Arial" w:hAnsi="Arial" w:eastAsia="等线" w:cs="Arial"/>
                <w:sz w:val="22"/>
              </w:rPr>
              <w:t>每低1个百分点扣1分，扣完为止</w:t>
            </w:r>
          </w:p>
        </w:tc>
      </w:tr>
      <w:tr w14:paraId="7FE5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B6BC8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运营管理</w:t>
            </w:r>
          </w:p>
        </w:tc>
        <w:tc>
          <w:tcPr>
            <w:tcW w:w="8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6C4EE">
            <w:pPr>
              <w:spacing w:before="120" w:after="120" w:line="288" w:lineRule="auto"/>
              <w:ind w:left="0" w:leftChars="0" w:firstLine="0" w:firstLineChars="0"/>
              <w:jc w:val="both"/>
            </w:pPr>
            <w:r>
              <w:rPr>
                <w:rFonts w:ascii="Arial" w:hAnsi="Arial" w:eastAsia="等线" w:cs="Arial"/>
                <w:sz w:val="22"/>
              </w:rPr>
              <w:t>安全事故发生率</w:t>
            </w:r>
          </w:p>
        </w:tc>
        <w:tc>
          <w:tcPr>
            <w:tcW w:w="1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B8D77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无重大安全事故，一般安全事故发生率≤0.5次／万小时（覆盖所有赛事、培训、文娱、群众性体育活动）</w:t>
            </w:r>
          </w:p>
        </w:tc>
        <w:tc>
          <w:tcPr>
            <w:tcW w:w="43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34EB77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0%</w:t>
            </w:r>
          </w:p>
        </w:tc>
        <w:tc>
          <w:tcPr>
            <w:tcW w:w="156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CAF96A">
            <w:pPr>
              <w:spacing w:before="120" w:after="120" w:line="288" w:lineRule="auto"/>
              <w:ind w:left="0" w:lef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发生重大安全事故本项0分，一般事故超次数每次扣5分，赛事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培训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文娱活动出现安全事故每次额外扣3分，扣完为止</w:t>
            </w:r>
          </w:p>
        </w:tc>
      </w:tr>
    </w:tbl>
    <w:p w14:paraId="269B48DA">
      <w:pPr>
        <w:pStyle w:val="1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</w:pPr>
      <w:bookmarkStart w:id="2" w:name="heading_14"/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）定性考核指标（20％）</w:t>
      </w:r>
      <w:bookmarkEnd w:id="2"/>
    </w:p>
    <w:p w14:paraId="5B017AFA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32"/>
          <w:szCs w:val="32"/>
          <w:lang w:val="en-US" w:eastAsia="zh-CN"/>
        </w:rPr>
        <w:t>1.战略执行与方案落地（5％）：</w:t>
      </w:r>
      <w:r>
        <w:rPr>
          <w:color w:val="auto"/>
        </w:rPr>
        <w:t>高效执行运营总经理制定的运营战略，年度运营计划落地率≥95％，跨部门协同任务完成及时。</w:t>
      </w:r>
    </w:p>
    <w:p w14:paraId="638123BB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bookmarkStart w:id="11" w:name="_GoBack"/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32"/>
          <w:szCs w:val="32"/>
          <w:lang w:val="en-US" w:eastAsia="zh-CN"/>
        </w:rPr>
        <w:t>2.甲方／政府对接满意度（5％）：</w:t>
      </w:r>
      <w:bookmarkEnd w:id="11"/>
      <w:r>
        <w:rPr>
          <w:color w:val="auto"/>
        </w:rPr>
        <w:t>配合完成年度运营报告、考核资料提交等工作，甲方及相关政府部门满意度≥90％（以书面评价／调研为准）。</w:t>
      </w:r>
    </w:p>
    <w:p w14:paraId="0780D843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32"/>
          <w:szCs w:val="32"/>
          <w:lang w:val="en-US" w:eastAsia="zh-CN"/>
        </w:rPr>
        <w:t>3.运营体系建设（4％）：</w:t>
      </w:r>
      <w:r>
        <w:rPr>
          <w:color w:val="auto"/>
        </w:rPr>
        <w:t>推动场馆标准化运营体系落地，完成制度修订、流程优化等实操工作，符合场馆运营规范。</w:t>
      </w:r>
    </w:p>
    <w:p w14:paraId="2BA10F5F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32"/>
          <w:szCs w:val="32"/>
          <w:lang w:val="en-US" w:eastAsia="zh-CN"/>
        </w:rPr>
        <w:t>4.资源整合与业务拓展（3％）：</w:t>
      </w:r>
      <w:r>
        <w:rPr>
          <w:color w:val="auto"/>
        </w:rPr>
        <w:t>积极对接体育协会、企业等资源，为赛事引进、招商合作提供有效支撑，完成年度业务拓展辅助任务。</w:t>
      </w:r>
    </w:p>
    <w:p w14:paraId="27383400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32"/>
          <w:szCs w:val="32"/>
          <w:lang w:val="en-US" w:eastAsia="zh-CN"/>
        </w:rPr>
        <w:t>5.职业素养与团队管理（3％）：</w:t>
      </w:r>
      <w:r>
        <w:rPr>
          <w:color w:val="auto"/>
        </w:rPr>
        <w:t>具备良好的职业操守，团队管理成效显著，部门工作效率、员工满意度达标（内部调研≥85％）。</w:t>
      </w:r>
    </w:p>
    <w:p w14:paraId="7857427F">
      <w:pPr>
        <w:pStyle w:val="1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</w:pPr>
      <w:bookmarkStart w:id="3" w:name="heading_15"/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）考核结果定级</w:t>
      </w:r>
      <w:bookmarkEnd w:id="3"/>
    </w:p>
    <w:p w14:paraId="5C4A64FB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32"/>
          <w:szCs w:val="32"/>
          <w:lang w:val="en-US" w:eastAsia="zh-CN"/>
        </w:rPr>
        <w:t>1.达标：</w:t>
      </w:r>
      <w:r>
        <w:rPr>
          <w:color w:val="auto"/>
        </w:rPr>
        <w:t>定量指标总分≥70分，定性指标≥16分（合格及以上），可参与年度盈利分成；</w:t>
      </w:r>
    </w:p>
    <w:p w14:paraId="77864D4C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32"/>
          <w:szCs w:val="32"/>
          <w:lang w:val="en-US" w:eastAsia="zh-CN"/>
        </w:rPr>
        <w:t>2.优秀：</w:t>
      </w:r>
      <w:r>
        <w:rPr>
          <w:color w:val="auto"/>
        </w:rPr>
        <w:t>定量指标总分≥85分，定性指标≥18分，在盈利分成基础上给予额外阶梯奖励；</w:t>
      </w:r>
    </w:p>
    <w:p w14:paraId="3916F4D3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0"/>
          <w:sz w:val="32"/>
          <w:szCs w:val="32"/>
          <w:lang w:val="en-US" w:eastAsia="zh-CN"/>
        </w:rPr>
        <w:t>3.不达标：</w:t>
      </w:r>
      <w:r>
        <w:rPr>
          <w:color w:val="auto"/>
        </w:rPr>
        <w:t>未达到上述达标标准，无盈利分成，且根据场馆制度进行绩效扣罚。</w:t>
      </w:r>
    </w:p>
    <w:p w14:paraId="2F90C89A">
      <w:pPr>
        <w:pStyle w:val="2"/>
        <w:pageBreakBefore w:val="0"/>
        <w:widowControl w:val="0"/>
        <w:kinsoku/>
        <w:wordWrap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bookmarkStart w:id="4" w:name="heading_16"/>
      <w:r>
        <w:rPr>
          <w:rFonts w:hint="eastAsia" w:cs="黑体"/>
          <w:color w:val="auto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lang w:val="en-US" w:eastAsia="zh-CN"/>
        </w:rPr>
        <w:t>、薪酬体系与盈利分成体系</w:t>
      </w:r>
      <w:bookmarkEnd w:id="4"/>
    </w:p>
    <w:p w14:paraId="551B436C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color w:val="auto"/>
        </w:rPr>
        <w:t>运营总监薪酬采用“基础工资＋年度盈利分成＋专项奖励”的模式，基础工资为固定薪酬，盈利分成与专项奖励为绩效激励薪酬，与年度考核结果直接挂钩。</w:t>
      </w:r>
    </w:p>
    <w:p w14:paraId="0FED78AB">
      <w:pPr>
        <w:pStyle w:val="1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</w:pPr>
      <w:bookmarkStart w:id="5" w:name="heading_17"/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）基础工资</w:t>
      </w:r>
      <w:bookmarkEnd w:id="5"/>
    </w:p>
    <w:p w14:paraId="281481FF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color w:val="auto"/>
        </w:rPr>
        <w:t>年度</w:t>
      </w:r>
      <w:r>
        <w:rPr>
          <w:rFonts w:hint="eastAsia"/>
          <w:color w:val="auto"/>
          <w:lang w:val="en-US" w:eastAsia="zh-CN"/>
        </w:rPr>
        <w:t>基础工资</w:t>
      </w:r>
      <w:r>
        <w:rPr>
          <w:color w:val="auto"/>
        </w:rPr>
        <w:t>20万元，按</w:t>
      </w:r>
      <w:r>
        <w:rPr>
          <w:rFonts w:hint="eastAsia"/>
          <w:color w:val="auto"/>
          <w:lang w:val="en-US" w:eastAsia="zh-CN"/>
        </w:rPr>
        <w:t>相关制度</w:t>
      </w:r>
      <w:r>
        <w:rPr>
          <w:color w:val="auto"/>
        </w:rPr>
        <w:t>发放，差旅费用按财务制度实报实销，不再单独计发。</w:t>
      </w:r>
    </w:p>
    <w:p w14:paraId="06964E49">
      <w:pPr>
        <w:pStyle w:val="1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</w:pPr>
      <w:bookmarkStart w:id="6" w:name="heading_18"/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）年度盈利分成</w:t>
      </w:r>
      <w:bookmarkEnd w:id="6"/>
    </w:p>
    <w:p w14:paraId="7CA1B86F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color w:val="auto"/>
        </w:rPr>
        <w:t>以场馆</w:t>
      </w:r>
      <w:r>
        <w:rPr>
          <w:b/>
          <w:color w:val="auto"/>
        </w:rPr>
        <w:t>年度经营性净利润</w:t>
      </w:r>
      <w:r>
        <w:rPr>
          <w:color w:val="auto"/>
        </w:rPr>
        <w:t>为分成基数，考核达标为参与分成前提，设置阶梯式分成比例，考核为优秀的，在对应档位分成基础上增加10％分成系数；净利润未达基准值或考核不达标，无盈利分成。</w:t>
      </w:r>
    </w:p>
    <w:p w14:paraId="37D5EEA4">
      <w:pPr>
        <w:pStyle w:val="1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lang w:eastAsia="zh-CN"/>
        </w:rPr>
      </w:pPr>
      <w:bookmarkStart w:id="7" w:name="heading_19"/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核心定义</w:t>
      </w:r>
      <w:bookmarkEnd w:id="7"/>
    </w:p>
    <w:p w14:paraId="59643660">
      <w:pPr>
        <w:pStyle w:val="6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Style w:val="11"/>
          <w:color w:val="auto"/>
        </w:rPr>
        <w:t>年度经营性净利润</w:t>
      </w:r>
      <w:r>
        <w:rPr>
          <w:color w:val="auto"/>
        </w:rPr>
        <w:t>：场馆年度经营性总收入 － 年度经营性总成本（含运营成本、人力成本、设施维护成本、营销成本等，不含固定资产折旧、无形资产摊销等非经营性成本），数值以第三方审计机构核算结果为准。</w:t>
      </w:r>
    </w:p>
    <w:p w14:paraId="2C1C6EF6">
      <w:pPr>
        <w:pStyle w:val="1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</w:pPr>
      <w:bookmarkStart w:id="8" w:name="heading_20"/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2.阶梯式分成档位及比例</w:t>
      </w:r>
      <w:bookmarkEnd w:id="8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5"/>
        <w:gridCol w:w="3150"/>
        <w:gridCol w:w="1615"/>
        <w:gridCol w:w="1920"/>
      </w:tblGrid>
      <w:tr w14:paraId="7067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85E29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分成档位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17D06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年度经营性净利润区间</w:t>
            </w:r>
          </w:p>
        </w:tc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3012A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基础分成比例（考核达标）</w:t>
            </w: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53794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优秀分成比例（考核优秀，基础比例×1.1）</w:t>
            </w:r>
          </w:p>
        </w:tc>
      </w:tr>
      <w:tr w14:paraId="2523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59A3D1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基础达标档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04CA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100万元≤净利润＜200万元</w:t>
            </w:r>
          </w:p>
        </w:tc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47B76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eastAsia="等线"/>
                <w:color w:val="auto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5</w:t>
            </w:r>
            <w:r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  <w:t>%</w:t>
            </w: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9AC60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eastAsia="等线"/>
                <w:color w:val="auto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5.5</w:t>
            </w:r>
            <w:r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  <w:t>%</w:t>
            </w:r>
          </w:p>
        </w:tc>
      </w:tr>
      <w:tr w14:paraId="7FFE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45F4E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盈利增长档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C446CE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200万元≤净利润＜300万元</w:t>
            </w:r>
          </w:p>
        </w:tc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01CA3D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eastAsia="等线"/>
                <w:color w:val="auto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8</w:t>
            </w:r>
            <w:r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  <w:t>%</w:t>
            </w: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A2F32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eastAsia="等线"/>
                <w:color w:val="auto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8.8</w:t>
            </w:r>
            <w:r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  <w:t>%</w:t>
            </w:r>
          </w:p>
        </w:tc>
      </w:tr>
      <w:tr w14:paraId="76B7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E478A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超额突破档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8DD39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净利润≥300万元</w:t>
            </w:r>
          </w:p>
        </w:tc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77232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eastAsia="等线"/>
                <w:color w:val="auto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12</w:t>
            </w:r>
            <w:r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  <w:t>%</w:t>
            </w: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8CC806">
            <w:pPr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eastAsia="等线"/>
                <w:color w:val="auto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13.2</w:t>
            </w:r>
            <w:r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  <w:t>%</w:t>
            </w:r>
          </w:p>
        </w:tc>
      </w:tr>
    </w:tbl>
    <w:p w14:paraId="4E6DA4B3">
      <w:pPr>
        <w:pStyle w:val="1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</w:pPr>
      <w:bookmarkStart w:id="9" w:name="heading_21"/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3.分成发放规则</w:t>
      </w:r>
      <w:bookmarkEnd w:id="9"/>
    </w:p>
    <w:p w14:paraId="338F15F9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① 分成核算与考核周期一致，为自然年度，在年度考核完成、第三方审计机构出具净利润核算报告后1个月内完成发放；</w:t>
      </w:r>
    </w:p>
    <w:p w14:paraId="1FD8B2D1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② 分成金额为对应档位分成比例×年度经营性净利润，扣除个人所得税后一次性发放；</w:t>
      </w:r>
    </w:p>
    <w:p w14:paraId="739D59B2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③ 年度内若出现重大安全事故、违法违规操作、补贴资金使用不规范等情况，无论考核是否达标、净利润多少，均取消当年全部盈利分成资格；</w:t>
      </w:r>
    </w:p>
    <w:p w14:paraId="7EF9CC12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  <w:spacing wpsCustomData:val="-6" w:val="-6"/>
        </w:rPr>
        <w:t>④</w:t>
      </w:r>
      <w:r>
        <w:rPr>
          <w:color w:val="auto"/>
          <w:spacing wpsCustomData:val="-6" w:val="4"/>
        </w:rPr>
        <w:t xml:space="preserve"> 盈利分成为额外激励，不包含在基础</w:t>
      </w:r>
      <w:r>
        <w:rPr>
          <w:color w:val="auto"/>
          <w:spacing wpsCustomData:val="-6" w:val="-6"/>
        </w:rPr>
        <w:t>工</w:t>
      </w:r>
      <w:r>
        <w:rPr>
          <w:color w:val="auto"/>
        </w:rPr>
        <w:t>资内。</w:t>
      </w:r>
    </w:p>
    <w:p w14:paraId="15370BC7">
      <w:pPr>
        <w:pStyle w:val="1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line="600" w:lineRule="exact"/>
        <w:ind w:firstLine="61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</w:pPr>
      <w:bookmarkStart w:id="10" w:name="heading_22"/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lang w:eastAsia="zh-CN"/>
        </w:rPr>
        <w:t>）专项奖励</w:t>
      </w:r>
      <w:bookmarkEnd w:id="10"/>
    </w:p>
    <w:p w14:paraId="3F4887DF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年度内若运营总监配合完成</w:t>
      </w:r>
      <w:r>
        <w:rPr>
          <w:b/>
          <w:color w:val="auto"/>
        </w:rPr>
        <w:t>重大突破性工作</w:t>
      </w:r>
      <w:r>
        <w:rPr>
          <w:color w:val="auto"/>
        </w:rPr>
        <w:t>（如引进国家级顶级赛事、非场地租赁收入占比突破50％、年度经营性净利润突破500万元等），经甲方审批后，给予一次性专项奖励（奖励金额另行核定），专项奖励与盈利分成可叠加享受。</w:t>
      </w:r>
    </w:p>
    <w:p w14:paraId="258FC4A3"/>
    <w:sectPr>
      <w:headerReference r:id="rId5" w:type="default"/>
      <w:footerReference r:id="rId6" w:type="default"/>
      <w:footerReference r:id="rId7" w:type="even"/>
      <w:pgSz w:w="11905" w:h="16840"/>
      <w:pgMar w:top="2098" w:right="1474" w:bottom="1984" w:left="1587" w:header="851" w:footer="1417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6F51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28B2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28B2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E4DF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4AB4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4AB4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20"/>
      </w:pPr>
      <w:r>
        <w:separator/>
      </w:r>
    </w:p>
  </w:footnote>
  <w:footnote w:type="continuationSeparator" w:id="1">
    <w:p>
      <w:pPr>
        <w:spacing w:line="48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66562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44CD9"/>
    <w:rsid w:val="01F836C1"/>
    <w:rsid w:val="549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881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4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5"/>
    <w:next w:val="1"/>
    <w:link w:val="1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11">
    <w:name w:val="标题 5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1cb01f07-600f-42f3-8e76-a08ff2ba070f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7D7F566F</paraID>
      <start>2</start>
      <end>3</end>
      <status>modified</status>
      <modifiedWord>%</modifiedWord>
      <trackRevisions>false</trackRevisions>
    </reviewItem>
    <reviewItem>
      <errorID>377ad218-088a-4d17-8b08-c7d662cec6b1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73C51D6B</paraID>
      <start>2</start>
      <end>3</end>
      <status>modified</status>
      <modifiedWord>%</modifiedWord>
      <trackRevisions>false</trackRevisions>
    </reviewItem>
    <reviewItem>
      <errorID>55210b1e-c4d3-42e2-b5ce-1816c36c9fd3</errorID>
      <errorWord>1..</errorWord>
      <group>L1_AI</group>
      <groupName>深度校对</groupName>
      <ability>L2_AI_Title</ability>
      <abilityName>标题检查</abilityName>
      <candidateList>
        <item>1.</item>
      </candidateList>
      <explain>标题顺序错误，请检查标题顺序是否合理。</explain>
      <paraID>2ADEDE73</paraID>
      <start>0</start>
      <end>2</end>
      <status>modified</status>
      <modifiedWord>1.</modifiedWord>
      <trackRevisions>false</trackRevisions>
    </reviewItem>
    <reviewItem>
      <errorID>f23d3b97-b915-4cf1-9958-d87623086a8a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66187414</paraID>
      <start>2</start>
      <end>3</end>
      <status>modified</status>
      <modifiedWord>%</modifiedWord>
      <trackRevisions>false</trackRevisions>
    </reviewItem>
    <reviewItem>
      <errorID>8fd5c59f-5066-4b66-a346-31a4ce6d62b3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60A640E3</paraID>
      <start>2</start>
      <end>3</end>
      <status>modified</status>
      <modifiedWord>%</modifiedWord>
      <trackRevisions>false</trackRevisions>
    </reviewItem>
    <reviewItem>
      <errorID>620f2c31-d5c4-4753-b086-1e78fee09d5c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 325655B</paraID>
      <start>2</start>
      <end>3</end>
      <status>modified</status>
      <modifiedWord>%</modifiedWord>
      <trackRevisions>false</trackRevisions>
    </reviewItem>
    <reviewItem>
      <errorID>d0be6046-1b63-45e0-880b-ba9b4a2315bc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40ABBB63</paraID>
      <start>2</start>
      <end>3</end>
      <status>modified</status>
      <modifiedWord>%</modifiedWord>
      <trackRevisions>false</trackRevisions>
    </reviewItem>
    <reviewItem>
      <errorID>d235657b-6bd7-4e12-9b7d-b310a451de5d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4C87065F</paraID>
      <start>2</start>
      <end>3</end>
      <status>modified</status>
      <modifiedWord>%</modifiedWord>
      <trackRevisions>false</trackRevisions>
    </reviewItem>
    <reviewItem>
      <errorID>84da6ca0-9096-463b-b159-9ea638f0e6e3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2F34EB77</paraID>
      <start>2</start>
      <end>3</end>
      <status>modified</status>
      <modifiedWord>%</modifiedWord>
      <trackRevisions>false</trackRevisions>
    </reviewItem>
    <reviewItem>
      <errorID>25736a2b-5d9b-4296-ada4-88e35a8ddfbd</errorID>
      <errorWord>3. </errorWord>
      <group>L1_AI</group>
      <groupName>深度校对</groupName>
      <ability>L2_AI_Title</ability>
      <abilityName>标题检查</abilityName>
      <candidateList>
        <item>二、</item>
      </candidateList>
      <explain>标题顺序错误，请检查标题顺序是否合理。</explain>
      <paraID>7857427F</paraID>
      <start>0</start>
      <end>3</end>
      <status>ignored</status>
      <modifiedWord/>
      <trackRevisions>false</trackRevisions>
    </reviewItem>
    <reviewItem>
      <errorID>0bb8b89e-76dd-4306-a832-5faf1fd1c2f4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58E47B76</paraID>
      <start>1</start>
      <end>2</end>
      <status>modified</status>
      <modifiedWord>%</modifiedWord>
      <trackRevisions>false</trackRevisions>
    </reviewItem>
    <reviewItem>
      <errorID>811866e5-5c7d-4b78-9104-2775f0dada64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6109AC60</paraID>
      <start>3</start>
      <end>4</end>
      <status>modified</status>
      <modifiedWord>%</modifiedWord>
      <trackRevisions>false</trackRevisions>
    </reviewItem>
    <reviewItem>
      <errorID>0e5e7c87-255f-456f-9654-69fe461b1f18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   1CA3D</paraID>
      <start>1</start>
      <end>2</end>
      <status>modified</status>
      <modifiedWord>%</modifiedWord>
      <trackRevisions>false</trackRevisions>
    </reviewItem>
    <reviewItem>
      <errorID>d0e0b214-3e51-4afd-9b1b-b4e8c1379c7a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128A2F32</paraID>
      <start>3</start>
      <end>4</end>
      <status>modified</status>
      <modifiedWord>%</modifiedWord>
      <trackRevisions>false</trackRevisions>
    </reviewItem>
    <reviewItem>
      <errorID>97d5881b-52e8-4b0c-b601-d23ec4b32d6b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21177232</paraID>
      <start>2</start>
      <end>3</end>
      <status>modified</status>
      <modifiedWord>%</modifiedWord>
      <trackRevisions>false</trackRevisions>
    </reviewItem>
    <reviewItem>
      <errorID>1b0443c5-cd41-4871-b499-ac4376027b39</errorID>
      <errorWord>％</errorWord>
      <group>L1_Format</group>
      <groupName>格式问题</groupName>
      <ability>L2_HalfPunc</ability>
      <abilityName>全半角检查</abilityName>
      <candidateList>
        <item>%</item>
      </candidateList>
      <explain>文本全半角错误。</explain>
      <paraID>668CC806</paraID>
      <start>4</start>
      <end>5</end>
      <status>modified</status>
      <modifiedWord>%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1c5338-32ea-4388-bf13-33395525c9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2026</Words>
  <Characters>2122</Characters>
  <Lines>0</Lines>
  <Paragraphs>0</Paragraphs>
  <TotalTime>3</TotalTime>
  <ScaleCrop>false</ScaleCrop>
  <LinksUpToDate>false</LinksUpToDate>
  <CharactersWithSpaces>2133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2026-04-20T02:09:00Z</dcterms:created>
  <dc:creator>A✨芬芬</dc:creator>
  <cp:lastModifiedBy>曹昌帅</cp:lastModifiedBy>
  <dcterms:modified xsi:type="dcterms:W3CDTF">2026-04-22T03:46:15Z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FB9EBA73CFC143F99DE4D1273F713936_13</vt:lpwstr>
  </property>
  <property fmtid="{D5CDD505-2E9C-101B-9397-08002B2CF9AE}" pid="4" name="KSOTemplateDocerSaveRecord">
    <vt:lpwstr>eyJoZGlkIjoiM2ZlODdiZDUxNWY5ZGFhNDQzNmJmMjM0ZjM3NDQ1ZjUiLCJ1c2VySWQiOiIyNjQ1NTk5OTQifQ==</vt:lpwstr>
  </property>
</Properties>
</file>