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41D9">
      <w:pPr>
        <w:spacing w:line="500" w:lineRule="exact"/>
        <w:jc w:val="left"/>
        <w:rPr>
          <w:rFonts w:hint="eastAsia" w:ascii="创艺简标宋" w:hAnsi="创艺简标宋" w:eastAsia="创艺简标宋" w:cs="创艺简标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58A4AEF2">
      <w:pPr>
        <w:spacing w:line="500" w:lineRule="exact"/>
        <w:jc w:val="left"/>
        <w:rPr>
          <w:rFonts w:hint="default" w:ascii="创艺简标宋" w:hAnsi="创艺简标宋" w:eastAsia="创艺简标宋" w:cs="创艺简标宋"/>
          <w:color w:val="auto"/>
          <w:sz w:val="32"/>
          <w:szCs w:val="32"/>
          <w:lang w:val="en-US" w:eastAsia="zh-CN"/>
        </w:rPr>
      </w:pPr>
    </w:p>
    <w:p w14:paraId="27EB4D49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招 聘 岗 位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545"/>
        <w:gridCol w:w="1284"/>
        <w:gridCol w:w="9765"/>
        <w:gridCol w:w="442"/>
      </w:tblGrid>
      <w:tr w14:paraId="36025A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任职基本要求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395446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0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浙江萧山老年医院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针灸推拿医生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以下，本科（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）及以上，本科为四级专业名称:针灸推拿学；研究生为四级专业名称:针灸推拿学、针灸，已取得执业医师资格证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及住院医师规范化培训合格证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一年及以上针灸推拿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工作经验，有中级及以上职称人员可放宽至40周岁以下。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2EFB84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药房工作人员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35周岁及以下，本科及以上学历，四级专业名称：药学、应用药学、临床药学。具有执业药师资格证或药师资格证。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276D517D"/>
    <w:p w14:paraId="4B072BCB"/>
    <w:p w14:paraId="10D14267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85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ECB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ECB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2026-04-20T08:21:31Z</dcterms:created>
  <dc:creator>Administrator</dc:creator>
  <cp:lastModifiedBy>李小默</cp:lastModifiedBy>
  <dcterms:modified xsi:type="dcterms:W3CDTF">2026-04-20T08:21:40Z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7579D698FE8A4AA5B2815E418A9CF55E_12</vt:lpwstr>
  </property>
</Properties>
</file>