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14C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江西省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农发种业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2026年度</w:t>
      </w:r>
    </w:p>
    <w:p w14:paraId="56F9C8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面向社会公开招聘公告</w:t>
      </w:r>
    </w:p>
    <w:p w14:paraId="2FDDB1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0C9FB9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江西省农发种业有限公司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江西省农业发展集团有限公司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的全资子公司，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于2024年11月注册成立，注册资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2亿元。公司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集农作物种子新品种研发、生产、加工、销售和技术服务于一体的农业科技型企业。为满足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发展需要，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拟于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面向社会的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招聘工作，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具体公告如下：</w:t>
      </w:r>
    </w:p>
    <w:p w14:paraId="3BB2FF4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center"/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  <w:t>一、招聘岗位与人数</w:t>
      </w:r>
    </w:p>
    <w:tbl>
      <w:tblPr>
        <w:tblStyle w:val="11"/>
        <w:tblW w:w="9783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800"/>
        <w:gridCol w:w="969"/>
        <w:gridCol w:w="1958"/>
        <w:gridCol w:w="3144"/>
      </w:tblGrid>
      <w:tr w14:paraId="6344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 w14:paraId="5CD4A2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800" w:type="dxa"/>
            <w:noWrap w:val="0"/>
            <w:vAlign w:val="center"/>
          </w:tcPr>
          <w:p w14:paraId="2949DA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69" w:type="dxa"/>
            <w:noWrap w:val="0"/>
            <w:vAlign w:val="center"/>
          </w:tcPr>
          <w:p w14:paraId="014F08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958" w:type="dxa"/>
            <w:noWrap w:val="0"/>
            <w:vAlign w:val="center"/>
          </w:tcPr>
          <w:p w14:paraId="3E5D30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3144" w:type="dxa"/>
            <w:noWrap w:val="0"/>
            <w:vAlign w:val="center"/>
          </w:tcPr>
          <w:p w14:paraId="002214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考核方式</w:t>
            </w:r>
          </w:p>
        </w:tc>
      </w:tr>
      <w:tr w14:paraId="1A98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 w14:paraId="3D61C5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2800" w:type="dxa"/>
            <w:noWrap w:val="0"/>
            <w:vAlign w:val="center"/>
          </w:tcPr>
          <w:p w14:paraId="5CD531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市场营销部营销岗（一线岗）</w:t>
            </w:r>
          </w:p>
        </w:tc>
        <w:tc>
          <w:tcPr>
            <w:tcW w:w="969" w:type="dxa"/>
            <w:noWrap w:val="0"/>
            <w:vAlign w:val="center"/>
          </w:tcPr>
          <w:p w14:paraId="256B2C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2人</w:t>
            </w:r>
          </w:p>
        </w:tc>
        <w:tc>
          <w:tcPr>
            <w:tcW w:w="1958" w:type="dxa"/>
            <w:noWrap w:val="0"/>
            <w:vAlign w:val="center"/>
          </w:tcPr>
          <w:p w14:paraId="6AFD5D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江西</w:t>
            </w:r>
          </w:p>
        </w:tc>
        <w:tc>
          <w:tcPr>
            <w:tcW w:w="3144" w:type="dxa"/>
            <w:noWrap w:val="0"/>
            <w:vAlign w:val="center"/>
          </w:tcPr>
          <w:p w14:paraId="46CA7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若通过资格审查人数＜20人，则直接面试；</w:t>
            </w:r>
          </w:p>
          <w:p w14:paraId="2BCE7B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若通过资格审查的人数≥20人，则笔试+面试</w:t>
            </w:r>
          </w:p>
        </w:tc>
      </w:tr>
      <w:tr w14:paraId="4CC1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 w14:paraId="608A96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2800" w:type="dxa"/>
            <w:noWrap w:val="0"/>
            <w:vAlign w:val="center"/>
          </w:tcPr>
          <w:p w14:paraId="5C6561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lang w:val="en-US" w:eastAsia="zh-CN"/>
              </w:rPr>
              <w:t>生产管理部工厂生产岗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（一线岗）</w:t>
            </w:r>
          </w:p>
        </w:tc>
        <w:tc>
          <w:tcPr>
            <w:tcW w:w="969" w:type="dxa"/>
            <w:noWrap w:val="0"/>
            <w:vAlign w:val="center"/>
          </w:tcPr>
          <w:p w14:paraId="6EA2A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958" w:type="dxa"/>
            <w:noWrap w:val="0"/>
            <w:vAlign w:val="center"/>
          </w:tcPr>
          <w:p w14:paraId="057DA2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江西省进贤县</w:t>
            </w:r>
          </w:p>
          <w:p w14:paraId="771D70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44" w:type="dxa"/>
            <w:noWrap w:val="0"/>
            <w:vAlign w:val="center"/>
          </w:tcPr>
          <w:p w14:paraId="78D468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若通过资格审查人数＜10人，则直接面试；</w:t>
            </w:r>
          </w:p>
          <w:p w14:paraId="546180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若通过资格审查的人数≥10人，则笔试+面试</w:t>
            </w:r>
          </w:p>
        </w:tc>
      </w:tr>
      <w:tr w14:paraId="7DCF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 w14:paraId="3E5721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2800" w:type="dxa"/>
            <w:noWrap w:val="0"/>
            <w:vAlign w:val="center"/>
          </w:tcPr>
          <w:p w14:paraId="7653C4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生产管理部基地生产岗（一线岗）</w:t>
            </w:r>
          </w:p>
        </w:tc>
        <w:tc>
          <w:tcPr>
            <w:tcW w:w="969" w:type="dxa"/>
            <w:noWrap w:val="0"/>
            <w:vAlign w:val="center"/>
          </w:tcPr>
          <w:p w14:paraId="615080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1958" w:type="dxa"/>
            <w:noWrap w:val="0"/>
            <w:vAlign w:val="center"/>
          </w:tcPr>
          <w:p w14:paraId="526A81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江西省进贤县</w:t>
            </w:r>
          </w:p>
          <w:p w14:paraId="39839E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海南省东方市</w:t>
            </w:r>
          </w:p>
        </w:tc>
        <w:tc>
          <w:tcPr>
            <w:tcW w:w="3144" w:type="dxa"/>
            <w:noWrap w:val="0"/>
            <w:vAlign w:val="center"/>
          </w:tcPr>
          <w:p w14:paraId="26587C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若通过资格审查人数＜10人，则直接面试；</w:t>
            </w:r>
          </w:p>
          <w:p w14:paraId="007F45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highlight w:val="none"/>
                <w:vertAlign w:val="baseline"/>
                <w:lang w:val="en-US" w:eastAsia="zh-CN"/>
              </w:rPr>
              <w:t>若通过资格审查的人数≥10人，则笔试+面试</w:t>
            </w:r>
          </w:p>
        </w:tc>
      </w:tr>
    </w:tbl>
    <w:p w14:paraId="3EC4CA9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  <w:t>二、岗位职责</w:t>
      </w:r>
    </w:p>
    <w:p w14:paraId="6DB46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（一）市场营销部营销岗</w:t>
      </w:r>
    </w:p>
    <w:p w14:paraId="3DB6C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</w:rPr>
        <w:t>负责种子销售，组织实施推广方案和销售计划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</w:rPr>
        <w:t>建立销售渠道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>等工作。</w:t>
      </w:r>
    </w:p>
    <w:p w14:paraId="474619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生产管理部工厂生产岗</w:t>
      </w:r>
    </w:p>
    <w:p w14:paraId="509F5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420" w:leftChars="200" w:firstLine="0" w:firstLineChars="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  <w:lang w:eastAsia="zh-CN"/>
        </w:rPr>
        <w:t>负责落实生产加工任务，确保按时完成订单，及时解决生产过程中设备故障及维护管理等工作。</w:t>
      </w:r>
    </w:p>
    <w:p w14:paraId="78C49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（三）生产管理部基地生产岗</w:t>
      </w:r>
    </w:p>
    <w:p w14:paraId="3974C7A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  <w:lang w:val="en-US" w:eastAsia="zh-CN"/>
        </w:rPr>
        <w:t>负责协助种植管理，日常田间管理的巡查和应急处理等工作。</w:t>
      </w:r>
    </w:p>
    <w:p w14:paraId="51F5F79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  <w:t>三、招聘条件及范围</w:t>
      </w:r>
    </w:p>
    <w:p w14:paraId="633C7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（一）应聘人员的基本条件</w:t>
      </w:r>
    </w:p>
    <w:p w14:paraId="10875B38">
      <w:pPr>
        <w:keepNext w:val="0"/>
        <w:keepLines w:val="0"/>
        <w:pageBreakBefore w:val="0"/>
        <w:widowControl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>1.具有中华人民共和国国籍。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ab/>
      </w:r>
    </w:p>
    <w:p w14:paraId="7ADF53FC">
      <w:pPr>
        <w:keepNext w:val="0"/>
        <w:keepLines w:val="0"/>
        <w:pageBreakBefore w:val="0"/>
        <w:widowControl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>2.拥护中国共产党的领导，遵纪守法，认同企业文化，具有良好的政治品格、道德品质、职业操守。</w:t>
      </w:r>
    </w:p>
    <w:p w14:paraId="2D0C387A">
      <w:pPr>
        <w:keepNext w:val="0"/>
        <w:keepLines w:val="0"/>
        <w:pageBreakBefore w:val="0"/>
        <w:widowControl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>3.符合招聘岗位所需的资格条件，具有胜任岗位的身体条件和心理素质，组织纪律性强，服从分配安排。</w:t>
      </w:r>
    </w:p>
    <w:p w14:paraId="68406F9A">
      <w:pPr>
        <w:keepNext w:val="0"/>
        <w:keepLines w:val="0"/>
        <w:pageBreakBefore w:val="0"/>
        <w:widowControl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val="en-US" w:eastAsia="zh-CN"/>
        </w:rPr>
        <w:t>4.遵循国有企业任职回避相关规定。</w:t>
      </w:r>
    </w:p>
    <w:p w14:paraId="747F6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（二）资格条件</w:t>
      </w:r>
    </w:p>
    <w:p w14:paraId="59B91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1.市场营销部营销岗</w:t>
      </w:r>
    </w:p>
    <w:p w14:paraId="3E6ED592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（1）大学及以上学历；大学本科专业：经济学（02）、理学（07）、工学（08）、农学（09）、管理学（12）专业；</w:t>
      </w:r>
    </w:p>
    <w:p w14:paraId="0F800CB0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研究生专业：经济学（02）、理学（07）、工学（08）、农学（09）、管理学（12）、农业（0951）、工商管理（1251）、公共管理（1252）专业；</w:t>
      </w:r>
    </w:p>
    <w:p w14:paraId="2FD31EDB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（2）年龄在40周岁及以下（1986年1月1日后出生）；</w:t>
      </w:r>
    </w:p>
    <w:p w14:paraId="3BDAE642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（3）具有2年及以上种业销售或农资销售工作经历，身心健康能适应经常出差；</w:t>
      </w:r>
    </w:p>
    <w:p w14:paraId="5E5B6221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（4）同等条件下，有销售农作物品种成功案例及销售渠道优先。</w:t>
      </w:r>
    </w:p>
    <w:p w14:paraId="26AA2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2.生产管理部工厂生产岗</w:t>
      </w:r>
    </w:p>
    <w:p w14:paraId="2CEC0F47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（1）大学及以上学历，学士及以上学位；大学本科专业：机械类（0802）、电气类（0806）、自动化类（0808）、农业工程类（0823）、植物生产类（0901）、林学类（0905）专业；</w:t>
      </w:r>
    </w:p>
    <w:p w14:paraId="57A19E07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研究生专业：机械工程（0802）、电气工程（0808）、农业工程（0828）、作物学（0901）、植物保护（0904）、林业（0954）专业；</w:t>
      </w:r>
    </w:p>
    <w:p w14:paraId="19EC715B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（2）年龄在40周岁及以下（1986年1月1日后出生）；</w:t>
      </w:r>
    </w:p>
    <w:p w14:paraId="40CE4501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（3）具有2年及以上种业或涉农企事业单位工作经历，身心健康，能适应经常出差；</w:t>
      </w:r>
    </w:p>
    <w:p w14:paraId="3540B7EC">
      <w:pPr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（4）同等条件下，具有农作物生产基地管理经验优先。</w:t>
      </w:r>
    </w:p>
    <w:p w14:paraId="27B64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1"/>
          <w:sz w:val="32"/>
          <w:szCs w:val="32"/>
          <w:highlight w:val="none"/>
          <w:lang w:val="en-US" w:eastAsia="zh-CN"/>
        </w:rPr>
        <w:t>3.生产管理部基地生产岗</w:t>
      </w:r>
    </w:p>
    <w:p w14:paraId="77A6404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大专及以上学历，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大专：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农业类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4101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、生物技术类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4701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专业</w:t>
      </w:r>
    </w:p>
    <w:p w14:paraId="7E50403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大学本科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：植物生产类（0901）、生物科学类（0710）专业</w:t>
      </w:r>
    </w:p>
    <w:p w14:paraId="737A151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研究生：农业（0951）、作物学（0901）、植物保护（0904）、生物学（0710）专业</w:t>
      </w:r>
    </w:p>
    <w:p w14:paraId="7C8E5F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年龄在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40周岁及以下（1986年1月1日后出生）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；</w:t>
      </w:r>
    </w:p>
    <w:p w14:paraId="7B0942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以上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种业或涉农企事业单位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工作经历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适应经常出差；</w:t>
      </w:r>
    </w:p>
    <w:p w14:paraId="34BBA53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具有农作物生产基地管理经验优先。</w:t>
      </w:r>
    </w:p>
    <w:p w14:paraId="06DF0E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以上工作年限、年龄计算截至202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日。</w:t>
      </w:r>
    </w:p>
    <w:p w14:paraId="638333F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  <w:t>四、薪酬待遇</w:t>
      </w:r>
    </w:p>
    <w:p w14:paraId="4F148B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具体按江西省农发种业有限公司薪酬管理办法等有关规定执行。</w:t>
      </w:r>
    </w:p>
    <w:p w14:paraId="295F05C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  <w:t>五、招聘录用程序</w:t>
      </w:r>
    </w:p>
    <w:p w14:paraId="3D6C11F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根据岗位专业类别及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报名情况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分批组织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招聘测试，具体流程为：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发布招聘信息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→报名与资格审查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highlight w:val="none"/>
          <w:shd w:val="clear" w:color="auto" w:fill="auto"/>
          <w:lang w:val="en-US" w:eastAsia="zh-CN"/>
        </w:rPr>
        <w:t>组织考试考核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→体检与背景调查→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确定拟录用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 w:bidi="en-US"/>
        </w:rPr>
        <w:t>→录用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。</w:t>
      </w:r>
    </w:p>
    <w:p w14:paraId="6A1CD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（一）报名与资格审查</w:t>
      </w:r>
    </w:p>
    <w:p w14:paraId="2D5FEF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1.报名时间：自2026年4月13日10:00至2026年4月30日14：00。</w:t>
      </w:r>
    </w:p>
    <w:p w14:paraId="6FE74D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2.报名方式：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instrText xml:space="preserve"> HYPERLINK "mailto:应聘人员登录省水投集团官网通知公告栏、（www.jxsltz.com）、江西人才服务网(www.jxrcfw.com)浏览招聘公告，并按要求提交相关材料。每名应聘者只能填报一个岗位，并将个人简历、个人身份证（正反面）、学历学位证书（如是国(境)外高校毕业生须提供教育部学历学位认证证书）、职业技能或职称证书、学信网《教育部学历证书电子注册备案表》等材料原件扫描件，按照岗位名称+姓名的格式（如XX岗位+姓名）发送至邮箱254860097@qq.com。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separate"/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招聘公告在公司官方媒体、江西“5+2就业之家”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信息平台公开发布招聘公告，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通过江西人才招聘网（https://www.jxrczp.com/），点击“江西省农发种业有限公司2026年度面向社会公开招聘工作人员公告”或直接点击链接（https://zpks.jxhr.com.cn/nindex/?ecode=nfzyzp）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进入报名系统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线上报名。</w:t>
      </w:r>
      <w:bookmarkEnd w:id="0"/>
    </w:p>
    <w:p w14:paraId="47A9E8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报名材料具体材料如下（以下报名材料均上传PDF版本）：</w:t>
      </w:r>
    </w:p>
    <w:p w14:paraId="68AE95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（1）本人签字确认的《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江西省农发种业有限公司社会招聘报名表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》（附件1）；</w:t>
      </w:r>
    </w:p>
    <w:p w14:paraId="3B6F26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江西省农发种业有限公司应聘人员近亲属排查表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》（附件2）</w:t>
      </w:r>
    </w:p>
    <w:p w14:paraId="156D8D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（3）有效期内的二代居民身份证；</w:t>
      </w:r>
    </w:p>
    <w:p w14:paraId="3D05FE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（4）高等教育各阶段学历、学位证书及有效期内的《教育部学历证书电子注册备案表》；</w:t>
      </w:r>
    </w:p>
    <w:p w14:paraId="69E98B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应聘者学历为国（境）外学历的，需提供相应证书和教育部留学服务中心认证的《国外学历学位认证书》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（http://www.cscse.edu.cn）查询认证的有关要求和程序；</w:t>
      </w:r>
    </w:p>
    <w:p w14:paraId="63E2C6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工作经历、职务证明材料（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劳动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、社保缴费证明等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24F008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相关职称、职业资格证书、奖励荣誉等扫描件；</w:t>
      </w:r>
    </w:p>
    <w:p w14:paraId="71BDF6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（8）其他相关证明材料。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fldChar w:fldCharType="end"/>
      </w:r>
    </w:p>
    <w:p w14:paraId="79866A3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3.报考者应认真阅读本次公开招聘公告的有关规定，核对本岗位报考条件，并对所提供的资料与报考岗位条件设置要求是否相符自行判断；每位应聘者仅限报考一个岗位。</w:t>
      </w:r>
    </w:p>
    <w:p w14:paraId="46F6637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线上报名期间，同步进行考生报名条件资格初审。考生必须完整、如实填写报名要求的各项信息,对于因信息填写不完整或材料上传不完整而影响资格条件判断的,将不予通过线上资格初审。资格审查贯穿于招聘工作全过程，凡发现考生弄虚作假或与公告岗位所要求的资格条件不符的，一经查实即取消考试和聘用资格，由此造成的后果由考生自行承担。</w:t>
      </w:r>
    </w:p>
    <w:p w14:paraId="4049A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（二）组织考试考核</w:t>
      </w:r>
    </w:p>
    <w:p w14:paraId="77A3A63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时间和地点以准考证为准，具体时间和地点另行通知。</w:t>
      </w:r>
    </w:p>
    <w:p w14:paraId="43294A8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本次招聘岗位均为生产服务一线岗，若岗位招聘人数与通过资格审查的应聘人数之比不高于1：10，则直接采取面试的形式开展测试；若高于1:10，则采用“笔试+面试”形式开展测试。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根据考生笔试成绩，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按照岗位1:3的比例确定面试入围人员名单，末位成绩相同者一并进入。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若有放弃面试资格导致面试人员空缺的，从本岗位未入围人员中按笔试成绩从高分到低分的顺序进行递补。</w:t>
      </w:r>
    </w:p>
    <w:p w14:paraId="30035BAC">
      <w:pPr>
        <w:pStyle w:val="18"/>
        <w:numPr>
          <w:ilvl w:val="0"/>
          <w:numId w:val="0"/>
        </w:numPr>
        <w:shd w:val="clear" w:color="auto" w:fill="auto"/>
        <w:overflowPunct/>
        <w:autoSpaceDN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面试形式为半结构化面试，满分100分。</w:t>
      </w:r>
      <w:r>
        <w:rPr>
          <w:rFonts w:hint="eastAsia" w:ascii="仿宋_GB2312" w:hAnsi="仿宋_GB2312" w:eastAsia="仿宋_GB2312" w:cs="仿宋_GB2312"/>
          <w:i w:val="0"/>
          <w:iCs w:val="0"/>
          <w:strike w:val="0"/>
          <w:dstrike w:val="0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主要考察应聘人员的知识经验、思维模式、表达能力及岗位匹配度等。</w:t>
      </w:r>
    </w:p>
    <w:p w14:paraId="1AC0D79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面试开始前由工作人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员进行验证和资格审查，对应聘资料不符合资格条件的人员，取消面试资格。面试顺序抽签确定，面试前10分钟进行抽签，抽签时尚未到场的，则押后安排。面试当日如有面试人员临时放弃面试资格，则不再临时通知递补。</w:t>
      </w:r>
    </w:p>
    <w:p w14:paraId="1F27125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以总成绩排序为标准（总成绩=笔试成绩*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0%+面试成绩*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0%，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若无笔试，面试成绩即为总成绩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各岗位测试总成绩由高到低1：1确定体检和背景调查人选，总成绩排名相同者按面试成绩高者优先。成绩均按四舍五入保留至小数点后两位数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第三位小数按四舍五入法处理。</w:t>
      </w:r>
    </w:p>
    <w:p w14:paraId="01CE1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（三）体检、背景调查及公示</w:t>
      </w:r>
    </w:p>
    <w:p w14:paraId="2E00EEC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入围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体检和背调人员名单。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，从高分到低分按照岗位招聘人数1:1的比例确定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体检人员名单。</w:t>
      </w:r>
    </w:p>
    <w:p w14:paraId="3E4E968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2.体检。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入围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体检人员须按照规定的时间参加体检。体检人员按通知要求到具备体检资质医院进行体检，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体检标准参照《公务员录用体检通用标准》（人社部发〔2016〕140号）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及相关政策规定执行。不按规定的时间、地点参加体检的人员，视作自动放弃体检资格。体检费用由应聘者承担。</w:t>
      </w:r>
    </w:p>
    <w:p w14:paraId="6EA5C1D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3.背景调查。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体检合格的人员，根据拟聘工作岗位情况确定背景调查人选，主要调查拟聘用人员个人工作履历、亲属情况、个人征信、有无违法违规违纪等情况。若经背景调查，没有合适的拟聘人员，可取消此岗位录用计划。</w:t>
      </w:r>
    </w:p>
    <w:p w14:paraId="59A8B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4.公示。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综合测试、体检及背景调查等情况，按各岗位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聘人数1:1的比例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确定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用人员，经集体研究审议通过后，在公司官方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媒体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公示，公示期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为5个工作日（不含公示当日），同时提供监督举报电话。</w:t>
      </w:r>
    </w:p>
    <w:p w14:paraId="7599B58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5.递补。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因体检、背调、公示不合格或考生自动放弃造成的空岗，按测试总成绩从高分到低分的顺序进行递补，测试总成绩低于70分的不予录用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（如无笔试，面试成绩为测试总成绩）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。递补人员应按规定进行体检、考察背调及公示。</w:t>
      </w:r>
    </w:p>
    <w:p w14:paraId="6DBD5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jc w:val="both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（四）聘用</w:t>
      </w:r>
    </w:p>
    <w:p w14:paraId="684E5C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与受聘人员签订聘用合同，确立人事关系。依照国家有关规定</w:t>
      </w:r>
    </w:p>
    <w:p w14:paraId="31D88FEF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实行试用期，试用期满考核不合格的，按有关规定予以解聘。</w:t>
      </w:r>
    </w:p>
    <w:p w14:paraId="0B6FE07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  <w:t>六、其他事项</w:t>
      </w:r>
    </w:p>
    <w:p w14:paraId="2322486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招聘期间考生务必保持手机畅通，及时查阅有关信息。</w:t>
      </w:r>
    </w:p>
    <w:p w14:paraId="38F12A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严禁弄虚作假行为。为了确保公平、公正，招聘工作所有程序均须进行考生身份核验，参与现场程序时请务必携带本人身份证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eastAsia="zh-CN" w:bidi="ar"/>
        </w:rPr>
        <w:t>（含临时身份证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或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eastAsia="zh-CN" w:bidi="ar"/>
        </w:rPr>
        <w:t>公安部门身份证明）、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准考证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。应试人员应自觉遵守考试纪律和相关规定，如发现有作弊、弄虚作假或有其他违规违纪行为，或不服从考务安排的，一经查实一律取消其应聘资格。造成不良影响和后果的，将依法依规追究相关责任。</w:t>
      </w:r>
    </w:p>
    <w:p w14:paraId="28D97CC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本次考试不指定考试辅导用书，不举办也不委托任何机构或者个人举办考试辅导培训班。</w:t>
      </w:r>
    </w:p>
    <w:p w14:paraId="3CDB221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以上环节实施时，如因工作实际需要调整的，另行公告。</w:t>
      </w:r>
    </w:p>
    <w:p w14:paraId="7FC7581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1"/>
          <w:sz w:val="32"/>
          <w:szCs w:val="32"/>
          <w:highlight w:val="none"/>
          <w:lang w:val="en-US" w:eastAsia="zh-CN"/>
        </w:rPr>
        <w:t>七、联系方式</w:t>
      </w:r>
    </w:p>
    <w:p w14:paraId="223C841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联系部门：江西农发种业公司综合管理部，咨询时间为工作日9：00-11：30、13：30-17：00。</w:t>
      </w:r>
    </w:p>
    <w:p w14:paraId="021CB95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联系人：帅女士，联系电话：0791-86350380</w:t>
      </w:r>
    </w:p>
    <w:p w14:paraId="237C35B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网上报名技术咨询电话：0791-87860200/87860216</w:t>
      </w:r>
    </w:p>
    <w:p w14:paraId="4866CDE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本公告未尽事宜，由江西农发种业公司综合管理部负责解释。</w:t>
      </w:r>
    </w:p>
    <w:p w14:paraId="524665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B35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江西省农发种业有限公司社会招聘报名表</w:t>
      </w:r>
    </w:p>
    <w:p w14:paraId="59B2A6C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600" w:firstLineChars="5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2.江西省农发种业有限公司应聘人员近亲属排查表</w:t>
      </w:r>
    </w:p>
    <w:p w14:paraId="78BD4A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D4A37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35735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17" w:right="1286" w:bottom="1417" w:left="138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41EF0129">
      <w:pPr>
        <w:keepNext w:val="0"/>
        <w:keepLines w:val="0"/>
        <w:overflowPunct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Arial Unicode MS" w:hAnsi="Arial Unicode MS" w:eastAsia="Arial Unicode MS" w:cs="宋体"/>
          <w:bCs/>
          <w:sz w:val="36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2A7ED9CB">
      <w:pPr>
        <w:keepNext/>
        <w:keepLines/>
        <w:spacing w:line="640" w:lineRule="exact"/>
        <w:ind w:left="46" w:leftChars="-199" w:right="-218" w:rightChars="-104" w:hanging="464" w:hangingChars="145"/>
        <w:jc w:val="center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江西省农发种业有限公司社会</w:t>
      </w:r>
      <w:r>
        <w:rPr>
          <w:rFonts w:hint="eastAsia" w:ascii="黑体" w:hAnsi="黑体" w:eastAsia="黑体" w:cs="黑体"/>
          <w:bCs/>
          <w:sz w:val="32"/>
          <w:szCs w:val="32"/>
        </w:rPr>
        <w:t>招聘报名表</w:t>
      </w:r>
    </w:p>
    <w:tbl>
      <w:tblPr>
        <w:tblStyle w:val="10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54DA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573A030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1314A3F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661605C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3943143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9FF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C2C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270A904F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324DB4ED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47942626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72FA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 w14:paraId="1733AC3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 w14:paraId="77C1D72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EC4C5B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7241A98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 w14:paraId="77FA69F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06EF5A7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78904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DEC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0CC5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70DC2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 w14:paraId="5C8D9334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0B950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72093C8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3570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4D9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D1775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5377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2433">
            <w:pPr>
              <w:spacing w:line="400" w:lineRule="exact"/>
              <w:jc w:val="lef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D7152D9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73E5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9058FE0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4345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2AE9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C22959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FE5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3EDD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9444">
            <w:pPr>
              <w:spacing w:line="400" w:lineRule="exact"/>
              <w:jc w:val="left"/>
              <w:rPr>
                <w:rFonts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ED56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ED4F79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992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025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宋体" w:cs="Times New Roman"/>
                <w:sz w:val="22"/>
              </w:rPr>
              <w:t>是否有</w:t>
            </w:r>
            <w:r>
              <w:rPr>
                <w:rFonts w:hint="eastAsia" w:ascii="仿宋" w:hAnsi="仿宋" w:eastAsia="宋体" w:cs="Times New Roman"/>
                <w:sz w:val="22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sz w:val="22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sz w:val="22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4C4DA9AC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5ADD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 w14:paraId="1B1F908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 w14:paraId="51F37C2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60BC954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35A4D10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82F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AE9FCC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6AD293D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653416F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7FA2A1D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1103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603ED7E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71B5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369D02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BEDD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864DFE7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3FE8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9AE1EC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62117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B75275B">
            <w:pPr>
              <w:spacing w:line="400" w:lineRule="exact"/>
              <w:jc w:val="left"/>
              <w:rPr>
                <w:rFonts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4A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C009F2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3EE0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A516E14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5C2A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5F776BF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5F0419E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54317C1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58EFD1C0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1F8F73F8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5E9F81E1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vAlign w:val="center"/>
          </w:tcPr>
          <w:p w14:paraId="0348156C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69DD244A">
            <w:pPr>
              <w:jc w:val="center"/>
              <w:rPr>
                <w:rFonts w:hint="default" w:ascii="仿宋" w:hAnsi="仿宋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 w14:paraId="641E8E45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C600FA4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5417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5534903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0E88266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BA8E48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011AE9C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72B563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9557D3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E2448A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3EAF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4B90F76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DAF543C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FBF440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252278C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CF3499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7EA88C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6366BC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6037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31F9805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2F31E0F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AB9B31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A8CC1FB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0DB45B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E873AF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0DA456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4698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5A81ADF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08D62BC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8EC41D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2DEB247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E8330D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8D9865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78BF2F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5688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08C039B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58F88FD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9DE8BA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675C3A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649FB0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9D0312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9E12FA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3221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7E7D62A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654BA24F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08C9D96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3EDE16D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662E996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1262CB7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 w14:paraId="4ABAD11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 w14:paraId="18BDF4F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2B5C3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34C7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8AF87E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354CE61">
            <w:pPr>
              <w:spacing w:line="400" w:lineRule="exact"/>
              <w:rPr>
                <w:rFonts w:hint="default" w:ascii="仿宋" w:hAnsi="仿宋" w:eastAsia="宋体"/>
                <w:sz w:val="22"/>
                <w:lang w:val="en-US"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B664AA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1848F7F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15D779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F95E8F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A30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447B17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3710A05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0F61D8E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0B05642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3913CA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C38D33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704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40B168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A053D08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EFCC35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1236A4F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76C6DE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773E5E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1F5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12CF6DE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14:paraId="248FB36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FF5141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4844150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CE6CB3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F82287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688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436F81C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14:paraId="16A2769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4591F4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7964CD5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4C3798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9CEECA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F6E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50C7264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315C475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7923E4A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1CDDAEA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 w14:paraId="403604D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14:paraId="511CF63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vAlign w:val="center"/>
          </w:tcPr>
          <w:p w14:paraId="35B8DC1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 w14:paraId="30872BE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1969364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5368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57AA2D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D0EEADD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8A85BB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7106490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3931A42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03ABBC0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E58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1E754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032DB9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8FE3F1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2ED2DEE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081F936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362A30B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AB0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724751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44735B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10EE019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5489360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60AD453D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3FA2C48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4CEC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8D1898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7F9B64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07A8FCC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775190E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720E009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8C95C6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2B9D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5DEA47E0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0203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0A83AE7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F41F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80193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3406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4593A30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 w14:paraId="3650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9393D5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90E6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099C4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8774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A78CCE4">
            <w:pPr>
              <w:jc w:val="center"/>
              <w:rPr>
                <w:rFonts w:ascii="仿宋" w:hAnsi="仿宋"/>
              </w:rPr>
            </w:pPr>
          </w:p>
        </w:tc>
      </w:tr>
      <w:tr w14:paraId="049B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DFEF43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2F36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4F48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BC44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D0A88C8">
            <w:pPr>
              <w:jc w:val="center"/>
              <w:rPr>
                <w:rFonts w:ascii="仿宋" w:hAnsi="仿宋"/>
              </w:rPr>
            </w:pPr>
          </w:p>
        </w:tc>
      </w:tr>
      <w:tr w14:paraId="329C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6D3C2D99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3961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AF7794D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9B850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92C6E9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E6CDD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5A652A0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 w14:paraId="2A99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A8E67F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C2E0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CEE4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B17C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CCAE6AF">
            <w:pPr>
              <w:jc w:val="center"/>
              <w:rPr>
                <w:rFonts w:ascii="仿宋" w:hAnsi="仿宋"/>
              </w:rPr>
            </w:pPr>
          </w:p>
        </w:tc>
      </w:tr>
      <w:tr w14:paraId="7912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3A11764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832E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B0E8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1CB5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EE0E941">
            <w:pPr>
              <w:jc w:val="center"/>
              <w:rPr>
                <w:rFonts w:ascii="仿宋" w:hAnsi="仿宋"/>
              </w:rPr>
            </w:pPr>
          </w:p>
        </w:tc>
      </w:tr>
      <w:tr w14:paraId="3D8D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61A18939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  <w:r>
              <w:rPr>
                <w:rFonts w:hint="eastAsia" w:ascii="仿宋" w:hAnsi="仿宋"/>
                <w:b/>
                <w:lang w:val="en-US" w:eastAsia="zh-CN"/>
              </w:rPr>
              <w:t>/社会实践经历</w:t>
            </w:r>
          </w:p>
        </w:tc>
      </w:tr>
      <w:tr w14:paraId="7D90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6C8E6F92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1A5735F6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721EF688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3E25A3CF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298F9888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578C3CEC"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 w14:paraId="39DA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8500DCB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sz w:val="21"/>
                <w:szCs w:val="21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EE5AE3E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 w14:paraId="4E54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E056E67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11A888C"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</w:t>
            </w:r>
          </w:p>
        </w:tc>
      </w:tr>
      <w:tr w14:paraId="7B62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3057F475">
            <w:pPr>
              <w:ind w:firstLine="420" w:firstLineChars="200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</w:p>
          <w:p w14:paraId="286534AC">
            <w:pPr>
              <w:ind w:firstLine="422" w:firstLineChars="200"/>
              <w:rPr>
                <w:rFonts w:hint="default" w:ascii="仿宋" w:hAnsi="仿宋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以上表格若无相关内容的，填“无”</w:t>
            </w:r>
          </w:p>
          <w:p w14:paraId="5CE567E9"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</w:p>
          <w:p w14:paraId="36501AFD">
            <w:pPr>
              <w:ind w:firstLine="422" w:firstLineChars="20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关系的权利。</w:t>
            </w:r>
          </w:p>
          <w:p w14:paraId="278C161D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 w14:paraId="7158FFC0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  <w:p w14:paraId="7C270388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</w:tr>
    </w:tbl>
    <w:p w14:paraId="0B8718FE"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Cs w:val="32"/>
          <w:lang w:bidi="ar"/>
        </w:rPr>
        <w:sectPr>
          <w:footerReference r:id="rId4" w:type="default"/>
          <w:pgSz w:w="11906" w:h="16838"/>
          <w:pgMar w:top="851" w:right="1286" w:bottom="709" w:left="1380" w:header="851" w:footer="992" w:gutter="0"/>
          <w:pgNumType w:fmt="numberInDash"/>
          <w:cols w:space="720" w:num="1"/>
          <w:docGrid w:type="lines" w:linePitch="312" w:charSpace="0"/>
        </w:sectPr>
      </w:pPr>
    </w:p>
    <w:p w14:paraId="6A6DD7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Arial Unicode MS" w:hAnsi="Arial Unicode MS" w:eastAsia="Arial Unicode MS" w:cs="Arial Unicode MS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3104D3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江西省农发种业有限公司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应聘人员近亲属</w:t>
      </w:r>
      <w:r>
        <w:rPr>
          <w:rFonts w:hint="eastAsia" w:ascii="黑体" w:hAnsi="黑体" w:eastAsia="黑体" w:cs="黑体"/>
          <w:sz w:val="32"/>
          <w:szCs w:val="32"/>
        </w:rPr>
        <w:t>排查表</w:t>
      </w:r>
    </w:p>
    <w:tbl>
      <w:tblPr>
        <w:tblStyle w:val="10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2B4A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685C66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人员</w:t>
            </w:r>
          </w:p>
          <w:p w14:paraId="51C010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58CDE2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67763E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0B1D1E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0305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5800F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43EA8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2F8E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2C5779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057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1440D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AC493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40209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021C56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</w:tr>
      <w:tr w14:paraId="69AE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A6B0A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9C057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4FD46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C1D75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3D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689DD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近亲属</w:t>
            </w:r>
          </w:p>
          <w:p w14:paraId="6EBF67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50336B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亲属姓名</w:t>
            </w:r>
          </w:p>
          <w:p w14:paraId="51E66B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5468DA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77910E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6455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B85D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FB3E2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AB743C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433A8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9F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26DBE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F05A3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28EB1C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3D2E03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80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FB0C6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90DD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8C6204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128E62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F7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2C6DE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89A47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102A5B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父亲</w:t>
            </w:r>
          </w:p>
        </w:tc>
        <w:tc>
          <w:tcPr>
            <w:tcW w:w="3131" w:type="dxa"/>
            <w:noWrap w:val="0"/>
            <w:vAlign w:val="center"/>
          </w:tcPr>
          <w:p w14:paraId="2CE8D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41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3B4A5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EC4F4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67E4A3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母亲</w:t>
            </w:r>
          </w:p>
        </w:tc>
        <w:tc>
          <w:tcPr>
            <w:tcW w:w="3131" w:type="dxa"/>
            <w:noWrap w:val="0"/>
            <w:vAlign w:val="center"/>
          </w:tcPr>
          <w:p w14:paraId="2C6E9E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54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CEA7F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9BDB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1918BC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本人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子女</w:t>
            </w:r>
          </w:p>
        </w:tc>
        <w:tc>
          <w:tcPr>
            <w:tcW w:w="3131" w:type="dxa"/>
            <w:noWrap w:val="0"/>
            <w:vAlign w:val="center"/>
          </w:tcPr>
          <w:p w14:paraId="50AB9B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39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E830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7EDC9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188396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5FEEBB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FB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65858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35F71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7578CA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6968D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7B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8A57C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CE31B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EA7336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6252A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2C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4FB431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A287E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19E5C8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43A07F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17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935AD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0DBE4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DC0805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42D2F5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23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A662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508B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B96530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的配偶</w:t>
            </w:r>
          </w:p>
        </w:tc>
        <w:tc>
          <w:tcPr>
            <w:tcW w:w="3131" w:type="dxa"/>
            <w:noWrap w:val="0"/>
            <w:vAlign w:val="center"/>
          </w:tcPr>
          <w:p w14:paraId="18CFD9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10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D0372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7F2A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890AA7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</w:rPr>
              <w:t>配偶兄弟姐妹</w:t>
            </w:r>
            <w:r>
              <w:rPr>
                <w:rFonts w:hint="eastAsia" w:ascii="仿宋" w:hAnsi="仿宋" w:eastAsia="宋体" w:cs="Times New Roman"/>
                <w:b/>
                <w:bCs/>
                <w:sz w:val="24"/>
                <w:szCs w:val="28"/>
                <w:lang w:val="en-US" w:eastAsia="zh-CN"/>
              </w:rPr>
              <w:t>的子女</w:t>
            </w:r>
          </w:p>
        </w:tc>
        <w:tc>
          <w:tcPr>
            <w:tcW w:w="3131" w:type="dxa"/>
            <w:noWrap w:val="0"/>
            <w:vAlign w:val="center"/>
          </w:tcPr>
          <w:p w14:paraId="34801F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58886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填表人（签名）：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日  </w:t>
      </w:r>
    </w:p>
    <w:p w14:paraId="442C9ECE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36FABA-F79D-4FB8-A0B3-F13768349F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3A52BB-5F02-4FEA-8CF2-E0A3C77A9532}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0F4A4D-4B98-4BC5-B40C-46C810750CA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1722FC2-44BB-4E25-AAD9-4EA08767CEE5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5" w:fontKey="{549CE645-3BD6-4A47-BF4A-9113A7EAF53F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6" w:fontKey="{0310456E-969C-436D-85C1-CDB34E72711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DA5C85CD-2142-4E0A-8A6D-F325C6F8CA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D5E3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81B99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81B99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1132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CE337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highlight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CE337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highlight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6C89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C3FE4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C3FE4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19279808"/>
                          </w:sdtPr>
                          <w:sdtContent>
                            <w:sdt>
                              <w:sdtPr>
                                <w:id w:val="642200459"/>
                              </w:sdtPr>
                              <w:sdtContent>
                                <w:p w14:paraId="3691B94A">
                                  <w:pPr>
                                    <w:pStyle w:val="7"/>
                                    <w:jc w:val="center"/>
                                  </w:pPr>
                                </w:p>
                              </w:sdtContent>
                            </w:sdt>
                          </w:sdtContent>
                        </w:sdt>
                        <w:p w14:paraId="52441A5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19279808"/>
                    </w:sdtPr>
                    <w:sdtContent>
                      <w:sdt>
                        <w:sdtPr>
                          <w:id w:val="642200459"/>
                        </w:sdtPr>
                        <w:sdtContent>
                          <w:p w14:paraId="3691B94A">
                            <w:pPr>
                              <w:pStyle w:val="7"/>
                              <w:jc w:val="center"/>
                            </w:pPr>
                          </w:p>
                        </w:sdtContent>
                      </w:sdt>
                    </w:sdtContent>
                  </w:sdt>
                  <w:p w14:paraId="52441A5D"/>
                </w:txbxContent>
              </v:textbox>
            </v:shape>
          </w:pict>
        </mc:Fallback>
      </mc:AlternateContent>
    </w:r>
  </w:p>
  <w:p w14:paraId="12979ABA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272A9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2A3A"/>
    <w:multiLevelType w:val="singleLevel"/>
    <w:tmpl w:val="FEFA2A3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TQ1YTRlMzI1M2IzYWUyNzg3ZTI0ZTA0YzgwNzQifQ=="/>
    <w:docVar w:name="KSO_WPS_MARK_KEY" w:val="527b824c-bfdc-41a8-8ff7-f594c7c30983"/>
  </w:docVars>
  <w:rsids>
    <w:rsidRoot w:val="00000000"/>
    <w:rsid w:val="00787FA8"/>
    <w:rsid w:val="00927C04"/>
    <w:rsid w:val="01B51300"/>
    <w:rsid w:val="024578D2"/>
    <w:rsid w:val="02C462B4"/>
    <w:rsid w:val="03513153"/>
    <w:rsid w:val="03D4539F"/>
    <w:rsid w:val="03E55A4F"/>
    <w:rsid w:val="04192400"/>
    <w:rsid w:val="04200561"/>
    <w:rsid w:val="04CD6C68"/>
    <w:rsid w:val="05D1471C"/>
    <w:rsid w:val="05DD3A5E"/>
    <w:rsid w:val="06170F23"/>
    <w:rsid w:val="07195727"/>
    <w:rsid w:val="08106CE2"/>
    <w:rsid w:val="0829018C"/>
    <w:rsid w:val="09DC135F"/>
    <w:rsid w:val="0AAD40F0"/>
    <w:rsid w:val="0B37182A"/>
    <w:rsid w:val="0B68557B"/>
    <w:rsid w:val="0BCA1B18"/>
    <w:rsid w:val="0BCE1410"/>
    <w:rsid w:val="0CBE4481"/>
    <w:rsid w:val="0CC90C7F"/>
    <w:rsid w:val="0D1A18A3"/>
    <w:rsid w:val="0D7C0F1C"/>
    <w:rsid w:val="0E2F0091"/>
    <w:rsid w:val="0E59657C"/>
    <w:rsid w:val="0E7C659C"/>
    <w:rsid w:val="105E5783"/>
    <w:rsid w:val="107D2A31"/>
    <w:rsid w:val="10AA4BD9"/>
    <w:rsid w:val="110B4862"/>
    <w:rsid w:val="111A451D"/>
    <w:rsid w:val="11335BA3"/>
    <w:rsid w:val="11E37F70"/>
    <w:rsid w:val="12A17AB2"/>
    <w:rsid w:val="12E81162"/>
    <w:rsid w:val="12FF40CE"/>
    <w:rsid w:val="136C25EA"/>
    <w:rsid w:val="13E91D89"/>
    <w:rsid w:val="145A112D"/>
    <w:rsid w:val="14A9101F"/>
    <w:rsid w:val="15CE20BD"/>
    <w:rsid w:val="16FC649C"/>
    <w:rsid w:val="17B9130E"/>
    <w:rsid w:val="17CE7F50"/>
    <w:rsid w:val="189E6F93"/>
    <w:rsid w:val="19107C84"/>
    <w:rsid w:val="1996479D"/>
    <w:rsid w:val="1A882CBF"/>
    <w:rsid w:val="1A8F7A29"/>
    <w:rsid w:val="1AF91AEC"/>
    <w:rsid w:val="1AFC5A84"/>
    <w:rsid w:val="1CDC2707"/>
    <w:rsid w:val="1D4516FE"/>
    <w:rsid w:val="1D520577"/>
    <w:rsid w:val="1D525097"/>
    <w:rsid w:val="1DF190D9"/>
    <w:rsid w:val="1E0027DB"/>
    <w:rsid w:val="1EF801C6"/>
    <w:rsid w:val="1F18526E"/>
    <w:rsid w:val="201605FE"/>
    <w:rsid w:val="20A717BB"/>
    <w:rsid w:val="219A4DEE"/>
    <w:rsid w:val="22581354"/>
    <w:rsid w:val="233A7D55"/>
    <w:rsid w:val="234E27A6"/>
    <w:rsid w:val="23956DEE"/>
    <w:rsid w:val="24134E54"/>
    <w:rsid w:val="2430151D"/>
    <w:rsid w:val="24355943"/>
    <w:rsid w:val="24791D69"/>
    <w:rsid w:val="24BE3140"/>
    <w:rsid w:val="26BC1E7A"/>
    <w:rsid w:val="27F625ED"/>
    <w:rsid w:val="28493EB3"/>
    <w:rsid w:val="2872787B"/>
    <w:rsid w:val="29651F57"/>
    <w:rsid w:val="29FEC694"/>
    <w:rsid w:val="29FF99CF"/>
    <w:rsid w:val="2AA902C1"/>
    <w:rsid w:val="2AA97188"/>
    <w:rsid w:val="2B004BC0"/>
    <w:rsid w:val="2B4358A5"/>
    <w:rsid w:val="2BC85502"/>
    <w:rsid w:val="2BDFD0DF"/>
    <w:rsid w:val="2E544152"/>
    <w:rsid w:val="2EFC6EC6"/>
    <w:rsid w:val="2F3976DB"/>
    <w:rsid w:val="2F8310E0"/>
    <w:rsid w:val="2F9C0A34"/>
    <w:rsid w:val="2FD8713D"/>
    <w:rsid w:val="30DB48E1"/>
    <w:rsid w:val="30FA672E"/>
    <w:rsid w:val="31502FA0"/>
    <w:rsid w:val="318F5C3F"/>
    <w:rsid w:val="321348FF"/>
    <w:rsid w:val="32706E34"/>
    <w:rsid w:val="32EC5DA2"/>
    <w:rsid w:val="34125A72"/>
    <w:rsid w:val="34FA6AF9"/>
    <w:rsid w:val="35F44423"/>
    <w:rsid w:val="37892392"/>
    <w:rsid w:val="37B57E3F"/>
    <w:rsid w:val="37E7A87A"/>
    <w:rsid w:val="39110D26"/>
    <w:rsid w:val="39142142"/>
    <w:rsid w:val="39F74A21"/>
    <w:rsid w:val="3B1F62B5"/>
    <w:rsid w:val="3B215B0D"/>
    <w:rsid w:val="3B9D3897"/>
    <w:rsid w:val="3BBFBE6B"/>
    <w:rsid w:val="3BD6610A"/>
    <w:rsid w:val="3BF3774C"/>
    <w:rsid w:val="3C4954F5"/>
    <w:rsid w:val="3C5E3479"/>
    <w:rsid w:val="3D0224DA"/>
    <w:rsid w:val="3D2E4CE1"/>
    <w:rsid w:val="3D934BE4"/>
    <w:rsid w:val="3DD3D10C"/>
    <w:rsid w:val="3DF4A87D"/>
    <w:rsid w:val="3E587027"/>
    <w:rsid w:val="3EFD644D"/>
    <w:rsid w:val="3F1F94A5"/>
    <w:rsid w:val="3F862530"/>
    <w:rsid w:val="3FEE760C"/>
    <w:rsid w:val="3FF6E6E6"/>
    <w:rsid w:val="3FF7628A"/>
    <w:rsid w:val="3FFD1AF3"/>
    <w:rsid w:val="40890A7E"/>
    <w:rsid w:val="40D60F5A"/>
    <w:rsid w:val="40DD1AC6"/>
    <w:rsid w:val="42DF6988"/>
    <w:rsid w:val="438835A6"/>
    <w:rsid w:val="44050BA5"/>
    <w:rsid w:val="44387BA0"/>
    <w:rsid w:val="443941AE"/>
    <w:rsid w:val="445A1739"/>
    <w:rsid w:val="44D5390B"/>
    <w:rsid w:val="44E47668"/>
    <w:rsid w:val="471958ED"/>
    <w:rsid w:val="484D21FF"/>
    <w:rsid w:val="487F509B"/>
    <w:rsid w:val="489E3E5B"/>
    <w:rsid w:val="48A32DE8"/>
    <w:rsid w:val="49A565E2"/>
    <w:rsid w:val="49BE460D"/>
    <w:rsid w:val="49FB72A2"/>
    <w:rsid w:val="4A4C5DFD"/>
    <w:rsid w:val="4B3B6AA6"/>
    <w:rsid w:val="4B610AB6"/>
    <w:rsid w:val="4BD91CAD"/>
    <w:rsid w:val="4BDD5A2A"/>
    <w:rsid w:val="4C9D3004"/>
    <w:rsid w:val="4D4A58AF"/>
    <w:rsid w:val="4E9E2B76"/>
    <w:rsid w:val="4F26512E"/>
    <w:rsid w:val="4F5E4CF0"/>
    <w:rsid w:val="500B2D00"/>
    <w:rsid w:val="50835136"/>
    <w:rsid w:val="50AC2746"/>
    <w:rsid w:val="50ED44BA"/>
    <w:rsid w:val="513D36B6"/>
    <w:rsid w:val="532C52C6"/>
    <w:rsid w:val="53800095"/>
    <w:rsid w:val="53B61C64"/>
    <w:rsid w:val="53C308B6"/>
    <w:rsid w:val="5457444F"/>
    <w:rsid w:val="54D43E16"/>
    <w:rsid w:val="54E216D1"/>
    <w:rsid w:val="5507503C"/>
    <w:rsid w:val="55F85C97"/>
    <w:rsid w:val="569D0FB8"/>
    <w:rsid w:val="56EC22C8"/>
    <w:rsid w:val="579A2B41"/>
    <w:rsid w:val="581E37D0"/>
    <w:rsid w:val="58FC1547"/>
    <w:rsid w:val="592A24E0"/>
    <w:rsid w:val="596A3F0B"/>
    <w:rsid w:val="59FF0D46"/>
    <w:rsid w:val="5A74558B"/>
    <w:rsid w:val="5ADC7D72"/>
    <w:rsid w:val="5B422FE3"/>
    <w:rsid w:val="5B6A3D72"/>
    <w:rsid w:val="5BBB2A9B"/>
    <w:rsid w:val="5BEF62C7"/>
    <w:rsid w:val="5C76DEDF"/>
    <w:rsid w:val="5C891F7B"/>
    <w:rsid w:val="5CB57600"/>
    <w:rsid w:val="5CD11365"/>
    <w:rsid w:val="5CE3022A"/>
    <w:rsid w:val="5D3A569D"/>
    <w:rsid w:val="5E187AFF"/>
    <w:rsid w:val="5E363F9E"/>
    <w:rsid w:val="5ECC1D98"/>
    <w:rsid w:val="5F032939"/>
    <w:rsid w:val="5F5E0C8A"/>
    <w:rsid w:val="5FCE8406"/>
    <w:rsid w:val="5FFBC5E1"/>
    <w:rsid w:val="5FFF4D63"/>
    <w:rsid w:val="5FFF5EAC"/>
    <w:rsid w:val="60A15785"/>
    <w:rsid w:val="61602087"/>
    <w:rsid w:val="616105EF"/>
    <w:rsid w:val="61984515"/>
    <w:rsid w:val="626A38DC"/>
    <w:rsid w:val="63424243"/>
    <w:rsid w:val="63B7EF55"/>
    <w:rsid w:val="63F05F8D"/>
    <w:rsid w:val="64912894"/>
    <w:rsid w:val="64B21AB9"/>
    <w:rsid w:val="64C47004"/>
    <w:rsid w:val="650C0298"/>
    <w:rsid w:val="65755C04"/>
    <w:rsid w:val="664E295A"/>
    <w:rsid w:val="66CB2414"/>
    <w:rsid w:val="66D86791"/>
    <w:rsid w:val="66DB2E6C"/>
    <w:rsid w:val="66EFAFEF"/>
    <w:rsid w:val="67903A43"/>
    <w:rsid w:val="67B85003"/>
    <w:rsid w:val="67BD7A4C"/>
    <w:rsid w:val="67BF5F0E"/>
    <w:rsid w:val="68BE0B64"/>
    <w:rsid w:val="69BD10B7"/>
    <w:rsid w:val="6A9F7042"/>
    <w:rsid w:val="6AB75D11"/>
    <w:rsid w:val="6AED0AF6"/>
    <w:rsid w:val="6AF73092"/>
    <w:rsid w:val="6B9E1265"/>
    <w:rsid w:val="6BBF5AA2"/>
    <w:rsid w:val="6BDF361E"/>
    <w:rsid w:val="6BF535E8"/>
    <w:rsid w:val="6CF8339F"/>
    <w:rsid w:val="6E9FA528"/>
    <w:rsid w:val="6F6A7A02"/>
    <w:rsid w:val="6F6D3709"/>
    <w:rsid w:val="6F7E412A"/>
    <w:rsid w:val="6FC425FD"/>
    <w:rsid w:val="70803D8A"/>
    <w:rsid w:val="70DFCE39"/>
    <w:rsid w:val="71045574"/>
    <w:rsid w:val="71CA7D6E"/>
    <w:rsid w:val="71CD093B"/>
    <w:rsid w:val="722E58CC"/>
    <w:rsid w:val="734343B4"/>
    <w:rsid w:val="737900D8"/>
    <w:rsid w:val="73FF0616"/>
    <w:rsid w:val="74EB61EC"/>
    <w:rsid w:val="7546233B"/>
    <w:rsid w:val="75ABD85A"/>
    <w:rsid w:val="75BD4CBF"/>
    <w:rsid w:val="75DFCCA1"/>
    <w:rsid w:val="76017A0F"/>
    <w:rsid w:val="774A6156"/>
    <w:rsid w:val="77562FB5"/>
    <w:rsid w:val="77DF8374"/>
    <w:rsid w:val="77FF642D"/>
    <w:rsid w:val="78C56F84"/>
    <w:rsid w:val="78EA69E9"/>
    <w:rsid w:val="79AD1BBA"/>
    <w:rsid w:val="79EFD896"/>
    <w:rsid w:val="79F20069"/>
    <w:rsid w:val="7AAD2296"/>
    <w:rsid w:val="7ABD3060"/>
    <w:rsid w:val="7AEE270E"/>
    <w:rsid w:val="7AFE2570"/>
    <w:rsid w:val="7B7F9DB6"/>
    <w:rsid w:val="7B9F80AC"/>
    <w:rsid w:val="7BB23708"/>
    <w:rsid w:val="7BB61616"/>
    <w:rsid w:val="7C1015B3"/>
    <w:rsid w:val="7CCE3226"/>
    <w:rsid w:val="7DAD3B7F"/>
    <w:rsid w:val="7DAFB654"/>
    <w:rsid w:val="7E2E723D"/>
    <w:rsid w:val="7E9F479A"/>
    <w:rsid w:val="7EB10699"/>
    <w:rsid w:val="7EE7A71B"/>
    <w:rsid w:val="7EF6F5EC"/>
    <w:rsid w:val="7EF82FEA"/>
    <w:rsid w:val="7EFEE581"/>
    <w:rsid w:val="7F3963A5"/>
    <w:rsid w:val="7F3F4F0F"/>
    <w:rsid w:val="7F7C4075"/>
    <w:rsid w:val="7F9B70D5"/>
    <w:rsid w:val="7FADFEE4"/>
    <w:rsid w:val="7FBF03B6"/>
    <w:rsid w:val="7FFE96AE"/>
    <w:rsid w:val="7FFFADA9"/>
    <w:rsid w:val="9BAAA998"/>
    <w:rsid w:val="9FC78310"/>
    <w:rsid w:val="AAF59841"/>
    <w:rsid w:val="ABFF38A2"/>
    <w:rsid w:val="B3EB6482"/>
    <w:rsid w:val="B56FAEEB"/>
    <w:rsid w:val="B6663E78"/>
    <w:rsid w:val="B77FFB76"/>
    <w:rsid w:val="B9F57823"/>
    <w:rsid w:val="BEF90DAD"/>
    <w:rsid w:val="BF5F78B1"/>
    <w:rsid w:val="BF74ABEE"/>
    <w:rsid w:val="BF93C96D"/>
    <w:rsid w:val="BFBF0AEE"/>
    <w:rsid w:val="BFD30D76"/>
    <w:rsid w:val="BFFEBF28"/>
    <w:rsid w:val="C3F7AA65"/>
    <w:rsid w:val="C7C89BD6"/>
    <w:rsid w:val="CB7DCBC2"/>
    <w:rsid w:val="CCB78B83"/>
    <w:rsid w:val="CFFFF950"/>
    <w:rsid w:val="DAFECABC"/>
    <w:rsid w:val="DBD74CE7"/>
    <w:rsid w:val="DC73520B"/>
    <w:rsid w:val="DD673828"/>
    <w:rsid w:val="DD7F7E57"/>
    <w:rsid w:val="DFB5E07E"/>
    <w:rsid w:val="DFDFECC4"/>
    <w:rsid w:val="E7DD3F2F"/>
    <w:rsid w:val="EAAE2AD9"/>
    <w:rsid w:val="EBEF5D21"/>
    <w:rsid w:val="EBFC7290"/>
    <w:rsid w:val="ED7EF114"/>
    <w:rsid w:val="EDF3FB6F"/>
    <w:rsid w:val="F2BC1FAD"/>
    <w:rsid w:val="F3DE01AA"/>
    <w:rsid w:val="F6FB1772"/>
    <w:rsid w:val="F72D1B0E"/>
    <w:rsid w:val="F777815F"/>
    <w:rsid w:val="F7D7450D"/>
    <w:rsid w:val="F7DD1B2E"/>
    <w:rsid w:val="F7FE9EE1"/>
    <w:rsid w:val="F95CAD35"/>
    <w:rsid w:val="F95F0F45"/>
    <w:rsid w:val="F9DF85F7"/>
    <w:rsid w:val="F9FDE079"/>
    <w:rsid w:val="F9FF58D6"/>
    <w:rsid w:val="F9FF814E"/>
    <w:rsid w:val="FA36E1E5"/>
    <w:rsid w:val="FA7FE492"/>
    <w:rsid w:val="FBFEA694"/>
    <w:rsid w:val="FCE3DC36"/>
    <w:rsid w:val="FCFFEDF7"/>
    <w:rsid w:val="FDCF4F1F"/>
    <w:rsid w:val="FEDBDC11"/>
    <w:rsid w:val="FEF75E02"/>
    <w:rsid w:val="FEF7FA08"/>
    <w:rsid w:val="FF5DF88F"/>
    <w:rsid w:val="FF7C2949"/>
    <w:rsid w:val="FF7EE91A"/>
    <w:rsid w:val="FF7F65AC"/>
    <w:rsid w:val="FFAF683C"/>
    <w:rsid w:val="FFBD2A01"/>
    <w:rsid w:val="FFBD67D3"/>
    <w:rsid w:val="FFC7E60C"/>
    <w:rsid w:val="FFCFD6F6"/>
    <w:rsid w:val="FFDFCA5B"/>
    <w:rsid w:val="FFED6F58"/>
    <w:rsid w:val="FFEEE9FE"/>
    <w:rsid w:val="FFEFDFF5"/>
    <w:rsid w:val="FFF29571"/>
    <w:rsid w:val="FFFF4BC3"/>
    <w:rsid w:val="FFFFB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 w:val="0"/>
      <w:adjustRightInd w:val="0"/>
      <w:snapToGrid w:val="0"/>
      <w:spacing w:before="50" w:beforeLines="50" w:after="50" w:afterLines="50"/>
      <w:jc w:val="center"/>
      <w:textAlignment w:val="center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FF0000"/>
      <w:u w:val="none"/>
    </w:rPr>
  </w:style>
  <w:style w:type="character" w:styleId="15">
    <w:name w:val="Hyperlink"/>
    <w:basedOn w:val="12"/>
    <w:qFormat/>
    <w:uiPriority w:val="0"/>
    <w:rPr>
      <w:color w:val="123885"/>
      <w:u w:val="none"/>
    </w:rPr>
  </w:style>
  <w:style w:type="paragraph" w:customStyle="1" w:styleId="16">
    <w:name w:val="toa heading1"/>
    <w:basedOn w:val="1"/>
    <w:next w:val="1"/>
    <w:qFormat/>
    <w:uiPriority w:val="0"/>
    <w:pPr>
      <w:spacing w:before="120"/>
    </w:pPr>
    <w:rPr>
      <w:rFonts w:ascii="Arial" w:hAnsi="Arial" w:eastAsia="宋体" w:cs="黑体"/>
      <w:sz w:val="24"/>
    </w:rPr>
  </w:style>
  <w:style w:type="character" w:customStyle="1" w:styleId="17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18">
    <w:name w:val="正文文本1"/>
    <w:basedOn w:val="1"/>
    <w:qFormat/>
    <w:uiPriority w:val="0"/>
    <w:pPr>
      <w:widowControl w:val="0"/>
      <w:shd w:val="clear" w:color="auto" w:fill="FFFFFF"/>
      <w:spacing w:line="346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4181</Words>
  <Characters>4450</Characters>
  <Lines>0</Lines>
  <Paragraphs>0</Paragraphs>
  <TotalTime>10</TotalTime>
  <ScaleCrop>false</ScaleCrop>
  <LinksUpToDate>false</LinksUpToDate>
  <CharactersWithSpaces>4633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2022-05-09T09:40:00Z</dcterms:created>
  <dc:creator>Administrator.MS-20170331UQEQ</dc:creator>
  <cp:lastModifiedBy>W</cp:lastModifiedBy>
  <cp:lastPrinted>2025-10-03T03:18:00Z</cp:lastPrinted>
  <dcterms:modified xsi:type="dcterms:W3CDTF">2026-04-13T00:57:50Z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0ED5F805CD5C84BDBD42F768ADDC976A_43</vt:lpwstr>
  </property>
  <property fmtid="{D5CDD505-2E9C-101B-9397-08002B2CF9AE}" pid="4" name="KSOTemplateDocerSaveRecord">
    <vt:lpwstr>eyJoZGlkIjoiMTY5NTc2Yjk0MzY2MjI2OWVmMGZkNGJmODZhZjc5NWEiLCJ1c2VySWQiOiI2MjA2Mjg1MTQifQ==</vt:lpwstr>
  </property>
</Properties>
</file>