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2944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附件4：</w:t>
      </w:r>
    </w:p>
    <w:p w14:paraId="7CA7E7BD">
      <w:pPr>
        <w:jc w:val="both"/>
        <w:rPr>
          <w:rFonts w:ascii="黑体" w:hAnsi="黑体" w:eastAsia="黑体" w:cs="黑体"/>
          <w:bCs/>
          <w:color w:val="FF0000"/>
          <w:sz w:val="44"/>
          <w:szCs w:val="44"/>
          <w:highlight w:val="none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119380</wp:posOffset>
                </wp:positionV>
                <wp:extent cx="2926715" cy="1310640"/>
                <wp:effectExtent l="0" t="0" r="6350" b="8255"/>
                <wp:wrapNone/>
                <wp:docPr id="102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1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B840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  <w:t>中共大连市委党校</w:t>
                            </w:r>
                          </w:p>
                          <w:p w14:paraId="38BC4A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  <w:t>大连行政学院</w:t>
                            </w:r>
                          </w:p>
                          <w:p w14:paraId="1B0D78A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w w:val="110"/>
                                <w:sz w:val="48"/>
                                <w:szCs w:val="48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  <w:t>大连市社会主义学院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8" o:spid="_x0000_s1026" o:spt="1" style="position:absolute;left:0pt;margin-left:101.85pt;margin-top:9.4pt;height:103.2pt;width:230.45pt;z-index:251659264;mso-width-relative:page;mso-height-relative:page;" fillcolor="#FFFFFF" filled="t" stroked="f" coordsize="21600,21600" o:gfxdata="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yg++XXAAAA&#10;CgEAAA8AAAAAAAAAAQAgAAAAIgAAAGRycy9kb3ducmV2LnhtbFBLAQIUABQAAAAIAIdO4kBVuqmG&#10;rAEAAGoDAAAOAAAAAAAAAAEAIAAAACY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AB840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  <w:t>中共大连市委党校</w:t>
                      </w:r>
                    </w:p>
                    <w:p w14:paraId="38BC4A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  <w:t>大连行政学院</w:t>
                      </w:r>
                    </w:p>
                    <w:p w14:paraId="1B0D78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w w:val="110"/>
                          <w:sz w:val="48"/>
                          <w:szCs w:val="48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  <w:t>大连市社会主义学院</w:t>
                      </w:r>
                    </w:p>
                  </w:txbxContent>
                </v:textbox>
              </v:rect>
            </w:pict>
          </mc:Fallback>
        </mc:AlternateContent>
      </w:r>
    </w:p>
    <w:p w14:paraId="1603CF45">
      <w:pPr>
        <w:spacing w:beforeLines="50" w:line="720" w:lineRule="exact"/>
        <w:jc w:val="center"/>
        <w:rPr>
          <w:rFonts w:ascii="黑体" w:hAnsi="黑体" w:eastAsia="黑体" w:cs="黑体"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  <w:highlight w:val="none"/>
        </w:rPr>
        <w:t>2022年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highlight w:val="none"/>
          <w:lang w:eastAsia="zh-CN"/>
        </w:rPr>
        <w:t>选聘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highlight w:val="none"/>
        </w:rPr>
        <w:t>人才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公告</w:t>
      </w:r>
    </w:p>
    <w:p w14:paraId="4F692E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 w14:paraId="591D49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16"/>
          <w:szCs w:val="16"/>
          <w:highlight w:val="none"/>
          <w:shd w:val="clear" w:color="auto" w:fill="FFFFFF"/>
          <w:lang w:val="en-US" w:eastAsia="zh-CN"/>
        </w:rPr>
      </w:pPr>
    </w:p>
    <w:p w14:paraId="7D1EBC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val="en-US" w:eastAsia="zh-CN"/>
        </w:rPr>
      </w:pPr>
      <w:r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val="en-US" w:eastAsia="zh-CN"/>
        </w:rPr>
        <w:t>引才待遇（1+N+</w:t>
      </w:r>
      <w:r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val="en-US" w:eastAsia="zh-CN"/>
        </w:rPr>
        <w:t>10</w:t>
      </w:r>
      <w:r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val="en-US" w:eastAsia="zh-CN"/>
        </w:rPr>
        <w:t>综合保障）</w:t>
      </w:r>
    </w:p>
    <w:p w14:paraId="02EA50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聘用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的优秀人才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除享受国家规定的事业单位工作人员工资福利待遇外，还可享受“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大连市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兴连英才计划”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一整套属地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政策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特别优秀的学科带头人、学术骨干“一事一议”N项特办政策、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校（院）引才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10项特别支持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政策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”。具体如下：</w:t>
      </w:r>
    </w:p>
    <w:p w14:paraId="6E1593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“大连市兴连英才计划”一整套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政策（属地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政策）</w:t>
      </w:r>
    </w:p>
    <w:p w14:paraId="2F86EA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经审核认定为大连市高层次人才和高校应届毕业生者，可享受相应安家费、住房补贴等一整套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政策待遇（详情可查询大连人才网或大连智慧人才微信公众号）。</w:t>
      </w:r>
    </w:p>
    <w:p w14:paraId="42184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1.高层次人才。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符合2024年印发的《大连市高层次人才分类目录（2024年修订）》、《大连市高层次人才认定办法》（文件公开发布），经认定的选聘尖端人才、领军人才、高端人才和青年才俊，分别享受每人500万元、260万元、120万元和30万元安家费。选聘的尖端人才、领军人才和高端人才子女入学，小学或初中可自主择校一次，初中择校的初升高时享受“指标到校”政策；高中阶段按照相关学籍管理规定参考人才意愿办理。对符合条件人才，其配偶为异地党政机关、事业单位的在编在岗人员，根据原单位性质，原则上采取身份对等、专业对口的办法帮助协调到连工作。</w:t>
      </w:r>
    </w:p>
    <w:p w14:paraId="11F03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2.高校毕业生。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毕业后2年内，具有全日制本科及以上学历、取得我市户籍、已由用人单位在连缴纳社保的新就业或自主创业高校毕业生。博士生、硕士生和本科生，分别享受每人每月2500元、1500元和1000元住房补贴，保障期最多36个月。国内“双一流”建设高校毕业生，住房补贴标准上浮10%。</w:t>
      </w:r>
    </w:p>
    <w:p w14:paraId="25931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3.人才落户保障。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全面放开落户条件，人才及其配偶、子女可在我市落户，父母可投靠落户。</w:t>
      </w:r>
    </w:p>
    <w:p w14:paraId="68E83E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特别优秀的学科带头人、学术骨干“一事一议”N项特办政策</w:t>
      </w:r>
    </w:p>
    <w:p w14:paraId="5FED34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符合以上学科带头人和学术骨干条件的特别优秀人才，校（院）可采取“一事一议”的方式协商确定选聘人才待遇等相关事宜。</w:t>
      </w:r>
    </w:p>
    <w:p w14:paraId="3624483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校（院）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“引才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10项特别支持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政策”</w:t>
      </w:r>
    </w:p>
    <w:p w14:paraId="0930A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选聘人才除享受专职教师平常工作日不坐班（新入职教师集中孵化期或来校第一年除外）、带薪寒暑假、定期体检等常规福利待遇外，还可享受以下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“校（院）引才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特别支持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政策”。</w:t>
      </w:r>
    </w:p>
    <w:p w14:paraId="18E4E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家住大连市主城区以外的人才可申请使用人才周转住房或过渡宿舍。</w:t>
      </w:r>
    </w:p>
    <w:p w14:paraId="3E0B4F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2.职称评审直通车。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博士毕业来校工作满3个月即可申请考核确定讲师（中级）职称，中级聘用且工作满2年即可申报参评副教授职称。副教授聘用满5年即可申报参评教授（正高级）职称。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  <w:t>具有省级以上人才称号的高层次人才或博士流动站出站人才，在职称评聘等方面可“一事一议”。</w:t>
      </w:r>
    </w:p>
    <w:p w14:paraId="1F34F0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3.岗位聘用优先过。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校（院）对于新入职的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优秀人才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，结合试用期内综合表现和空岗情况，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优先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考核聘用至相应专业技术岗位等级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对于特别优秀且符合条件的高级职称人员，可申请特设岗位予以优先岗位聘用。</w:t>
      </w:r>
    </w:p>
    <w:p w14:paraId="3EBDA6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4.“优课优酬、优绩优酬”重奖激励政策。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为鼓励广大教研人员潜心治学、虔诚问道、悉心育人，校（院）自2020年起实行“优课优酬、优绩优酬”重奖激励政策，按照多劳多得、不设上限的原则，每年核增事业人员奖励性绩效工资专门用于教学科研成果奖励，奖励资金逐年递增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奖金总额纳入个人公积金缴纳基数，实属系统内外超高且实惠的隐性福利待遇。</w:t>
      </w:r>
    </w:p>
    <w:p w14:paraId="608562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5.“综合性创新工程”专项资金保障政策。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作为东北地区唯一一家实行“综合性创新工程”的党校（行政学院、社会主义学院），为全力保障人才来校后的教学科研、学习进修以及学科建设等工作全面开展，校（院）鼓励人才来校后积极申报教学、科研、人才培育以及学科建设等综合性创新工程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（配套资金上不封顶）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，确保人才安心、专心、暖心开展工作。</w:t>
      </w:r>
    </w:p>
    <w:p w14:paraId="25B204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6.广阔而丰富的学习平台和培养措施。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（院）高度重视人才培育工作，每年选派教师到中央党校（行政学院）、中央社院、山东省委党校、上海市委党校、辽宁省委党校等国家、省级校（院）和高校以及各类优质社会培训机构学习进修、访学调研等50余人次，参加各类社会邀约、兼职、评审等30余人次，到机关、企事业单位和基层实践锻炼10余人次，为教师配备学术导师一对一辅导100余人次。人才培育三大工程（夯基、攀登、达峰）、“一人一策”15项培养措施、新入职教师集中孵化管理、职工综合素质能力提升、教学名师工程等“五大育才工程”项目覆盖全体、突出重点、涵盖目前市场几乎所有培训途径，共同助力各类人才快速成长成才。</w:t>
      </w:r>
    </w:p>
    <w:p w14:paraId="549F69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7.支持提升学历。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校（院）对符合条件的优秀人才，从政策和资金方面支持在职提升学历，攻读博士和博士后。</w:t>
      </w:r>
    </w:p>
    <w:p w14:paraId="3BE61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8.来校面试待遇。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大连市以外来连应聘人员，校（院）免费安排食、宿。</w:t>
      </w:r>
    </w:p>
    <w:p w14:paraId="60FE01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9.提供实习岗位。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校（院）为在读博士或在研博士后流动站人员提供来校实习岗位。实习期间，提供免费早午餐和购买意外伤害险。实习期满，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取得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相应学历学位者，优先安排面试或考核。</w:t>
      </w:r>
    </w:p>
    <w:p w14:paraId="4B64A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10.配备人才服务专员。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校（院）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为引进的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优秀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人才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配备服务专员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eastAsia="zh-CN"/>
        </w:rPr>
        <w:t>全程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提供政策咨询、手续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eastAsia="zh-CN"/>
        </w:rPr>
        <w:t>办理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、待遇落实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eastAsia="zh-CN"/>
        </w:rPr>
        <w:t>、入职后协调保障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eastAsia="zh-CN"/>
        </w:rPr>
        <w:t>各项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</w:rPr>
        <w:t>服务，实现高层次人才全周期服务。</w:t>
      </w:r>
    </w:p>
    <w:p w14:paraId="3A187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（院）“1+N+10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引才特惠政策”真诚欢迎各类优秀人才加盟！我们坚信这里会成为各类优秀人才汇聚的佳选之一。</w:t>
      </w:r>
    </w:p>
    <w:sectPr>
      <w:footerReference r:id="rId3" w:type="default"/>
      <w:pgSz w:w="11906" w:h="16838"/>
      <w:pgMar w:top="1134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4BBA6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51DC0F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01770"/>
    <w:multiLevelType w:val="singleLevel"/>
    <w:tmpl w:val="FBB017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OTUyZjkyNzQzNjE1N2RmZGJmZTdlMzBmN2IwYzQifQ=="/>
  </w:docVars>
  <w:rsids>
    <w:rsidRoot w:val="00000000"/>
    <w:rsid w:val="02FB1793"/>
    <w:rsid w:val="04AB3B8E"/>
    <w:rsid w:val="06F42F3B"/>
    <w:rsid w:val="08EE7CFD"/>
    <w:rsid w:val="09B83AB4"/>
    <w:rsid w:val="0AFA6B7E"/>
    <w:rsid w:val="0EEA71AB"/>
    <w:rsid w:val="0F24110D"/>
    <w:rsid w:val="10376C1E"/>
    <w:rsid w:val="10B82071"/>
    <w:rsid w:val="11545C68"/>
    <w:rsid w:val="129F70DC"/>
    <w:rsid w:val="14706BA3"/>
    <w:rsid w:val="14D9001B"/>
    <w:rsid w:val="15C772BA"/>
    <w:rsid w:val="18546503"/>
    <w:rsid w:val="1887274A"/>
    <w:rsid w:val="18EF7F6B"/>
    <w:rsid w:val="1C47664D"/>
    <w:rsid w:val="1C4B4348"/>
    <w:rsid w:val="1D862F93"/>
    <w:rsid w:val="1F6E36FB"/>
    <w:rsid w:val="21D4251F"/>
    <w:rsid w:val="223E54B5"/>
    <w:rsid w:val="23B4085A"/>
    <w:rsid w:val="268806E8"/>
    <w:rsid w:val="2CFBF932"/>
    <w:rsid w:val="2DF7F586"/>
    <w:rsid w:val="2F3960B7"/>
    <w:rsid w:val="2FDDC861"/>
    <w:rsid w:val="326C6D20"/>
    <w:rsid w:val="367A5126"/>
    <w:rsid w:val="36B17857"/>
    <w:rsid w:val="376260A7"/>
    <w:rsid w:val="379BE8EE"/>
    <w:rsid w:val="37F802C0"/>
    <w:rsid w:val="37FE50F1"/>
    <w:rsid w:val="3C8670C6"/>
    <w:rsid w:val="3D177DB6"/>
    <w:rsid w:val="3F7E1D59"/>
    <w:rsid w:val="45EB3A89"/>
    <w:rsid w:val="46396545"/>
    <w:rsid w:val="46682E37"/>
    <w:rsid w:val="49A9F158"/>
    <w:rsid w:val="4AB8237A"/>
    <w:rsid w:val="4BCE9EE2"/>
    <w:rsid w:val="4F1D2EA8"/>
    <w:rsid w:val="4F67247D"/>
    <w:rsid w:val="4FF7A49C"/>
    <w:rsid w:val="4FFF7F43"/>
    <w:rsid w:val="52CE3CC3"/>
    <w:rsid w:val="577FDAE6"/>
    <w:rsid w:val="57BB246B"/>
    <w:rsid w:val="5ED75CF2"/>
    <w:rsid w:val="5F8CB4B7"/>
    <w:rsid w:val="5F93686E"/>
    <w:rsid w:val="5FCDDFBD"/>
    <w:rsid w:val="600E770C"/>
    <w:rsid w:val="63BF40D6"/>
    <w:rsid w:val="67351633"/>
    <w:rsid w:val="67F920B3"/>
    <w:rsid w:val="67FFE36B"/>
    <w:rsid w:val="681F5ACF"/>
    <w:rsid w:val="6B4C285D"/>
    <w:rsid w:val="6BEBEC57"/>
    <w:rsid w:val="6C68212C"/>
    <w:rsid w:val="6CB9B0FB"/>
    <w:rsid w:val="6DF2235C"/>
    <w:rsid w:val="6F76DE32"/>
    <w:rsid w:val="6F8E4E1A"/>
    <w:rsid w:val="6FB17733"/>
    <w:rsid w:val="6FDE4C47"/>
    <w:rsid w:val="6FE54F5F"/>
    <w:rsid w:val="70E7076F"/>
    <w:rsid w:val="73FFE3A9"/>
    <w:rsid w:val="751A6BA3"/>
    <w:rsid w:val="75DD88B2"/>
    <w:rsid w:val="75FD533F"/>
    <w:rsid w:val="76C06B0A"/>
    <w:rsid w:val="772444B9"/>
    <w:rsid w:val="776F88A9"/>
    <w:rsid w:val="77782A27"/>
    <w:rsid w:val="7A3FFB1A"/>
    <w:rsid w:val="7B7F5533"/>
    <w:rsid w:val="7BAF59E4"/>
    <w:rsid w:val="7BBBA7A9"/>
    <w:rsid w:val="7BFDA77C"/>
    <w:rsid w:val="7C283B50"/>
    <w:rsid w:val="7C5E9402"/>
    <w:rsid w:val="7CFF43D6"/>
    <w:rsid w:val="7D3F7EDB"/>
    <w:rsid w:val="7D7FC2F6"/>
    <w:rsid w:val="7E05277C"/>
    <w:rsid w:val="7EBE5D00"/>
    <w:rsid w:val="7ED5EF67"/>
    <w:rsid w:val="7EDFE9C7"/>
    <w:rsid w:val="7EEF1432"/>
    <w:rsid w:val="7FBECA05"/>
    <w:rsid w:val="7FCE88B4"/>
    <w:rsid w:val="7FF697D7"/>
    <w:rsid w:val="7FFBF491"/>
    <w:rsid w:val="7FFFF616"/>
    <w:rsid w:val="8F7DABFA"/>
    <w:rsid w:val="8FF796D5"/>
    <w:rsid w:val="A37FD92B"/>
    <w:rsid w:val="A6FBA22A"/>
    <w:rsid w:val="A7DF9A6B"/>
    <w:rsid w:val="AA568E55"/>
    <w:rsid w:val="ABB30195"/>
    <w:rsid w:val="ABFE93EC"/>
    <w:rsid w:val="ADBD77C1"/>
    <w:rsid w:val="AEB713A7"/>
    <w:rsid w:val="AFFD2A2E"/>
    <w:rsid w:val="B5F77633"/>
    <w:rsid w:val="BD37F90F"/>
    <w:rsid w:val="BFEBC19A"/>
    <w:rsid w:val="BFEC6ADC"/>
    <w:rsid w:val="BFEF4E3B"/>
    <w:rsid w:val="CF9D6B11"/>
    <w:rsid w:val="CFBBFCFB"/>
    <w:rsid w:val="D7AB1CE8"/>
    <w:rsid w:val="D7FF56A7"/>
    <w:rsid w:val="DAFF6E3E"/>
    <w:rsid w:val="DB8509BC"/>
    <w:rsid w:val="DDFEF67F"/>
    <w:rsid w:val="DEFC84C5"/>
    <w:rsid w:val="DFAF50D4"/>
    <w:rsid w:val="DFB618AB"/>
    <w:rsid w:val="DFF755CD"/>
    <w:rsid w:val="E5E5ACD0"/>
    <w:rsid w:val="E7BD5F25"/>
    <w:rsid w:val="E7F4568B"/>
    <w:rsid w:val="EAFF3109"/>
    <w:rsid w:val="EAFF62F9"/>
    <w:rsid w:val="ECB7A134"/>
    <w:rsid w:val="ED7FE5C0"/>
    <w:rsid w:val="ED93A559"/>
    <w:rsid w:val="EEFF08EB"/>
    <w:rsid w:val="EF7FA137"/>
    <w:rsid w:val="F50F06AC"/>
    <w:rsid w:val="F56D8A38"/>
    <w:rsid w:val="F77EE502"/>
    <w:rsid w:val="F7AAD77D"/>
    <w:rsid w:val="FACECAA3"/>
    <w:rsid w:val="FB6A5EFD"/>
    <w:rsid w:val="FB761486"/>
    <w:rsid w:val="FE3F68EA"/>
    <w:rsid w:val="FEB7A9C2"/>
    <w:rsid w:val="FEEB6AFF"/>
    <w:rsid w:val="FF7A0AE9"/>
    <w:rsid w:val="FF9F63C6"/>
    <w:rsid w:val="FFD71FEA"/>
    <w:rsid w:val="FFED01FB"/>
    <w:rsid w:val="FFF51AB7"/>
    <w:rsid w:val="FFF94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none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2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1854</Words>
  <Characters>1911</Characters>
  <Paragraphs>103</Paragraphs>
  <TotalTime>1</TotalTime>
  <ScaleCrop>false</ScaleCrop>
  <LinksUpToDate>false</LinksUpToDate>
  <CharactersWithSpaces>1911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2022-03-13T11:23:00Z</dcterms:created>
  <dc:creator>Sky123.Org</dc:creator>
  <cp:lastModifiedBy>51233</cp:lastModifiedBy>
  <cp:lastPrinted>2024-04-28T02:57:00Z</cp:lastPrinted>
  <dcterms:modified xsi:type="dcterms:W3CDTF">2025-02-12T13:20:25Z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175363B858EB49D7A7A7297BD287C2B8</vt:lpwstr>
  </property>
  <property fmtid="{D5CDD505-2E9C-101B-9397-08002B2CF9AE}" pid="4" name="KSOTemplateDocerSaveRecord">
    <vt:lpwstr>eyJoZGlkIjoiNjA3OGE5ZTMzMGQ5YmUwM2NjMGZhNGYyYTZhOGI3YjciLCJ1c2VySWQiOiI0MTQwMDA3NzkifQ==</vt:lpwstr>
  </property>
</Properties>
</file>