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楷体" w:hAnsi="楷体" w:eastAsia="楷体" w:cs="楷体"/>
          <w:spacing w:val="6"/>
          <w:sz w:val="32"/>
          <w:szCs w:val="32"/>
          <w:lang w:val="en-US" w:eastAsia="zh-CN"/>
        </w:rPr>
      </w:pPr>
      <w:r>
        <w:rPr>
          <w:rFonts w:hint="eastAsia" w:ascii="楷体" w:hAnsi="楷体" w:eastAsia="楷体" w:cs="楷体"/>
          <w:spacing w:val="6"/>
          <w:sz w:val="32"/>
          <w:szCs w:val="32"/>
          <w:lang w:val="en-US" w:eastAsia="zh-CN"/>
        </w:rPr>
        <w:t>附件4</w:t>
      </w:r>
    </w:p>
    <w:p>
      <w:pPr>
        <w:spacing w:line="560" w:lineRule="exact"/>
        <w:jc w:val="center"/>
        <w:rPr>
          <w:rFonts w:hint="eastAsia"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保靖县人才引进管理办法</w:t>
      </w:r>
      <w:r>
        <w:rPr>
          <w:rFonts w:hint="eastAsia" w:ascii="Times New Roman" w:hAnsi="Times New Roman" w:eastAsia="方正小标宋简体" w:cs="Times New Roman"/>
          <w:spacing w:val="6"/>
          <w:sz w:val="44"/>
          <w:szCs w:val="44"/>
        </w:rPr>
        <w:t>（暂行）</w:t>
      </w:r>
    </w:p>
    <w:p>
      <w:pPr>
        <w:spacing w:line="560" w:lineRule="exact"/>
        <w:jc w:val="center"/>
        <w:rPr>
          <w:rFonts w:hint="default" w:ascii="Times New Roman" w:hAnsi="Times New Roman" w:eastAsia="方正小标宋简体" w:cs="Times New Roman"/>
          <w:spacing w:val="6"/>
          <w:sz w:val="44"/>
          <w:szCs w:val="44"/>
          <w:lang w:val="en-US" w:eastAsia="zh-CN"/>
        </w:rPr>
      </w:pPr>
      <w:r>
        <w:rPr>
          <w:rFonts w:hint="eastAsia" w:ascii="Times New Roman" w:hAnsi="Times New Roman" w:eastAsia="方正小标宋简体" w:cs="Times New Roman"/>
          <w:spacing w:val="6"/>
          <w:sz w:val="44"/>
          <w:szCs w:val="44"/>
          <w:lang w:eastAsia="zh-CN"/>
        </w:rPr>
        <w:t>（</w:t>
      </w:r>
      <w:r>
        <w:rPr>
          <w:rFonts w:hint="eastAsia" w:ascii="Times New Roman" w:hAnsi="Times New Roman" w:eastAsia="方正小标宋简体" w:cs="Times New Roman"/>
          <w:spacing w:val="6"/>
          <w:sz w:val="44"/>
          <w:szCs w:val="44"/>
          <w:lang w:val="en-US" w:eastAsia="zh-CN"/>
        </w:rPr>
        <w:t>节选）</w:t>
      </w:r>
    </w:p>
    <w:p>
      <w:pPr>
        <w:pStyle w:val="3"/>
        <w:spacing w:after="0" w:line="560" w:lineRule="exact"/>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pPr>
        <w:pStyle w:val="3"/>
        <w:spacing w:after="0"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xml:space="preserve">  本办法适</w:t>
      </w:r>
      <w:r>
        <w:rPr>
          <w:rFonts w:ascii="Times New Roman" w:hAnsi="Times New Roman" w:eastAsia="仿宋_GB2312" w:cs="Times New Roman"/>
          <w:color w:val="000000" w:themeColor="text1"/>
          <w:sz w:val="32"/>
          <w:szCs w:val="32"/>
          <w14:textFill>
            <w14:solidFill>
              <w14:schemeClr w14:val="tx1"/>
            </w14:solidFill>
          </w14:textFill>
        </w:rPr>
        <w:t>用于全县党政群机关</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含参照公务员法管理单位</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、事业单位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国企、“四上企业”</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以下统称用人单位</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全职引进的高层次人才、急需紧缺人才及柔性引进的人才。引进的高层次人才、急需紧缺人才在保靖县的最低服务期</w:t>
      </w:r>
      <w:r>
        <w:rPr>
          <w:rFonts w:ascii="Times New Roman" w:hAnsi="Times New Roman" w:eastAsia="仿宋_GB2312" w:cs="Times New Roman"/>
          <w:sz w:val="32"/>
          <w:szCs w:val="32"/>
        </w:rPr>
        <w:t>为5年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企业引进人才最低服务期为3年，引进教育部直属师范大学公费师范毕业生最低服务期为6年），柔性引进的人才不设服务期（根据项目合作实际情况判定）。</w:t>
      </w:r>
    </w:p>
    <w:p>
      <w:pPr>
        <w:pStyle w:val="3"/>
        <w:spacing w:after="0"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xml:space="preserve">  人才类别：</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柔性引进的人才分为A、B两类，全职引进的高层次人才分为C、D两类，引进的急需紧缺人才为E类，具体分类见附件1；</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引进外国专家或获得教育部认证的海外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含港澳台地区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高校留学生经县委人才工作领导小组研究认定后，参照上述标准对应分类。湘西自治州内各级机关、事业单位和国有企业未满服务期的在职人员不属于引进对象。</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第六条 </w:t>
      </w:r>
      <w:r>
        <w:rPr>
          <w:rFonts w:ascii="Times New Roman" w:hAnsi="Times New Roman" w:eastAsia="仿宋_GB2312" w:cs="Times New Roman"/>
          <w:sz w:val="32"/>
          <w:szCs w:val="32"/>
        </w:rPr>
        <w:t xml:space="preserve"> B类及以上人才一般不超过5</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周岁，特殊情况一事一议，C类人才可适当放宽至45周岁以下，引进的D类、E类人才年龄一般在</w:t>
      </w:r>
      <w:r>
        <w:rPr>
          <w:rFonts w:hint="eastAsia" w:ascii="Times New Roman" w:hAnsi="Times New Roman" w:eastAsia="仿宋_GB2312" w:cs="Times New Roman"/>
          <w:sz w:val="32"/>
          <w:szCs w:val="32"/>
        </w:rPr>
        <w:t>40</w:t>
      </w:r>
      <w:r>
        <w:rPr>
          <w:rFonts w:ascii="Times New Roman" w:hAnsi="Times New Roman" w:eastAsia="仿宋_GB2312" w:cs="Times New Roman"/>
          <w:sz w:val="32"/>
          <w:szCs w:val="32"/>
        </w:rPr>
        <w:t>周岁以下。</w:t>
      </w:r>
    </w:p>
    <w:p>
      <w:pPr>
        <w:pStyle w:val="3"/>
        <w:spacing w:after="0"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第四章  政策待遇</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xml:space="preserve">  引进人才按类别享受以下政策待遇</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政策待遇：</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1.经济待遇。</w:t>
      </w:r>
      <w:r>
        <w:rPr>
          <w:rFonts w:ascii="Times New Roman" w:hAnsi="Times New Roman" w:eastAsia="仿宋_GB2312" w:cs="Times New Roman"/>
          <w:sz w:val="32"/>
          <w:szCs w:val="32"/>
        </w:rPr>
        <w:t>在服务期内享受购房补助、生活补助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具体标准见附件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。购房补助在服务期满时兑现</w:t>
      </w:r>
      <w:r>
        <w:rPr>
          <w:rFonts w:ascii="Times New Roman" w:hAnsi="Times New Roman" w:eastAsia="仿宋_GB2312" w:cs="Times New Roman"/>
          <w:color w:val="000000" w:themeColor="text1"/>
          <w:sz w:val="32"/>
          <w:szCs w:val="32"/>
          <w14:textFill>
            <w14:solidFill>
              <w14:schemeClr w14:val="tx1"/>
            </w14:solidFill>
          </w14:textFill>
        </w:rPr>
        <w:t>发放</w:t>
      </w:r>
      <w:r>
        <w:rPr>
          <w:rFonts w:hint="eastAsia" w:ascii="Times New Roman" w:hAnsi="Times New Roman" w:eastAsia="仿宋_GB2312" w:cs="Times New Roman"/>
          <w:color w:val="000000" w:themeColor="text1"/>
          <w:sz w:val="32"/>
          <w:szCs w:val="32"/>
          <w14:textFill>
            <w14:solidFill>
              <w14:schemeClr w14:val="tx1"/>
            </w14:solidFill>
          </w14:textFill>
        </w:rPr>
        <w:t>或在保靖购房后发放</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生活补助在工作满一年后根据考核结果按年发放，异动到县外、辞职或当年考核不合格的，不享受当年生活补助</w:t>
      </w:r>
      <w:r>
        <w:rPr>
          <w:rFonts w:hint="eastAsia" w:ascii="Times New Roman" w:hAnsi="Times New Roman" w:eastAsia="仿宋_GB2312" w:cs="Times New Roman"/>
          <w:sz w:val="32"/>
          <w:szCs w:val="32"/>
        </w:rPr>
        <w:t>；服务期内录用为县内公务员的，可继续享受生活补助</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2.住房保障。</w:t>
      </w:r>
      <w:r>
        <w:rPr>
          <w:rFonts w:ascii="Times New Roman" w:hAnsi="Times New Roman" w:eastAsia="仿宋_GB2312" w:cs="Times New Roman"/>
          <w:sz w:val="32"/>
          <w:szCs w:val="32"/>
        </w:rPr>
        <w:t>引进的E1类及以上人才在服务期内且城区内无住房的优先入住人才公寓，</w:t>
      </w:r>
      <w:r>
        <w:rPr>
          <w:rFonts w:hint="eastAsia" w:ascii="Times New Roman" w:hAnsi="Times New Roman" w:eastAsia="仿宋_GB2312" w:cs="Times New Roman"/>
          <w:sz w:val="32"/>
          <w:szCs w:val="32"/>
        </w:rPr>
        <w:t>在人才公寓无法满足情况下，</w:t>
      </w:r>
      <w:r>
        <w:rPr>
          <w:rFonts w:ascii="Times New Roman" w:hAnsi="Times New Roman" w:eastAsia="仿宋_GB2312" w:cs="Times New Roman"/>
          <w:sz w:val="32"/>
          <w:szCs w:val="32"/>
        </w:rPr>
        <w:t>由用人单位提供过渡性住房。E2类人才由用人单位提供过渡性住房。</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3.配偶安置。</w:t>
      </w:r>
      <w:r>
        <w:rPr>
          <w:rFonts w:ascii="Times New Roman" w:hAnsi="Times New Roman" w:eastAsia="仿宋_GB2312" w:cs="Times New Roman"/>
          <w:sz w:val="32"/>
          <w:szCs w:val="32"/>
        </w:rPr>
        <w:t>配偶属机关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含参照公务员法管理单位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事业单位和国有企业正式工作人员，且愿意来县工作的，在相关政策范围内按身份对等安置。无固定工作的，积极推荐参加保靖县公务员或企事业单位公开招考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招聘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或推荐到县内企业就业。</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4.子女入学。</w:t>
      </w:r>
      <w:r>
        <w:rPr>
          <w:rFonts w:ascii="Times New Roman" w:hAnsi="Times New Roman" w:eastAsia="仿宋_GB2312" w:cs="Times New Roman"/>
          <w:sz w:val="32"/>
          <w:szCs w:val="32"/>
        </w:rPr>
        <w:t>子女享受协调保障入学待遇，义务教育阶段可在其工作地或县内居住地范围内提出入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学意愿，教育部门统筹协调安排入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5.健康服务。</w:t>
      </w:r>
      <w:r>
        <w:rPr>
          <w:rFonts w:ascii="Times New Roman" w:hAnsi="Times New Roman" w:eastAsia="仿宋_GB2312" w:cs="Times New Roman"/>
          <w:sz w:val="32"/>
          <w:szCs w:val="32"/>
        </w:rPr>
        <w:t>服务期内由用人单位每年组织引进的高层次、急需紧缺人才进行体检。</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6.落户政策。</w:t>
      </w:r>
      <w:r>
        <w:rPr>
          <w:rFonts w:ascii="Times New Roman" w:hAnsi="Times New Roman" w:eastAsia="仿宋_GB2312" w:cs="Times New Roman"/>
          <w:sz w:val="32"/>
          <w:szCs w:val="32"/>
        </w:rPr>
        <w:t>在县工作期间，可在其工作地或县内居住地落户，其配偶、未婚子女及父母可随本人迁移户口。各用人单位安排专人协助办理。</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7.探亲待遇。</w:t>
      </w:r>
      <w:r>
        <w:rPr>
          <w:rFonts w:ascii="Times New Roman" w:hAnsi="Times New Roman" w:eastAsia="仿宋_GB2312" w:cs="Times New Roman"/>
          <w:sz w:val="32"/>
          <w:szCs w:val="32"/>
        </w:rPr>
        <w:t>服务期内，利用法定节假日或双休日探视配偶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不同城居住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每月可按公务出差规定</w:t>
      </w:r>
      <w:r>
        <w:rPr>
          <w:rFonts w:hint="eastAsia" w:ascii="Times New Roman" w:hAnsi="Times New Roman" w:eastAsia="仿宋_GB2312" w:cs="Times New Roman"/>
          <w:sz w:val="32"/>
          <w:szCs w:val="32"/>
        </w:rPr>
        <w:t>在工作单位</w:t>
      </w:r>
      <w:r>
        <w:rPr>
          <w:rFonts w:ascii="Times New Roman" w:hAnsi="Times New Roman" w:eastAsia="仿宋_GB2312" w:cs="Times New Roman"/>
          <w:sz w:val="32"/>
          <w:szCs w:val="32"/>
        </w:rPr>
        <w:t>报销一次往返两地</w:t>
      </w:r>
      <w:r>
        <w:rPr>
          <w:rFonts w:hint="eastAsia" w:ascii="Times New Roman" w:hAnsi="Times New Roman" w:eastAsia="仿宋_GB2312" w:cs="Times New Roman"/>
          <w:sz w:val="32"/>
          <w:szCs w:val="32"/>
        </w:rPr>
        <w:t>（双方工作地或家庭居住地）</w:t>
      </w:r>
      <w:r>
        <w:rPr>
          <w:rFonts w:ascii="Times New Roman" w:hAnsi="Times New Roman" w:eastAsia="仿宋_GB2312" w:cs="Times New Roman"/>
          <w:sz w:val="32"/>
          <w:szCs w:val="32"/>
        </w:rPr>
        <w:t>城市间交通费用；未婚的探视父母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不同城居住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每年可报销两次。</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8.亲情留才。</w:t>
      </w:r>
      <w:r>
        <w:rPr>
          <w:rFonts w:hint="eastAsia" w:ascii="Times New Roman" w:hAnsi="Times New Roman" w:eastAsia="仿宋_GB2312" w:cs="Times New Roman"/>
          <w:sz w:val="32"/>
          <w:szCs w:val="32"/>
        </w:rPr>
        <w:t>保靖</w:t>
      </w:r>
      <w:r>
        <w:rPr>
          <w:rFonts w:ascii="Times New Roman" w:hAnsi="Times New Roman" w:eastAsia="仿宋_GB2312" w:cs="Times New Roman"/>
          <w:sz w:val="32"/>
          <w:szCs w:val="32"/>
        </w:rPr>
        <w:t>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双一流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高校本科及以上学历高校毕业生，毕业后两年内回</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工作的，且符合认定条件的，给予家长一次性</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至5</w:t>
      </w:r>
      <w:r>
        <w:rPr>
          <w:rFonts w:ascii="Times New Roman" w:hAnsi="Times New Roman" w:eastAsia="仿宋_GB2312" w:cs="Times New Roman"/>
          <w:sz w:val="32"/>
          <w:szCs w:val="32"/>
        </w:rPr>
        <w:t>万元的</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博士5万元、双一流高校硕士3万元，其他高校硕士及双一流高校本科生2万元。</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培养</w:t>
      </w:r>
      <w:r>
        <w:rPr>
          <w:rFonts w:ascii="Times New Roman" w:hAnsi="Times New Roman" w:eastAsia="仿宋_GB2312" w:cs="Times New Roman"/>
          <w:b/>
          <w:bCs/>
          <w:sz w:val="32"/>
          <w:szCs w:val="32"/>
        </w:rPr>
        <w:t>晋升。</w:t>
      </w:r>
      <w:r>
        <w:rPr>
          <w:rFonts w:ascii="Times New Roman" w:hAnsi="Times New Roman" w:eastAsia="仿宋_GB2312" w:cs="Times New Roman"/>
          <w:sz w:val="32"/>
          <w:szCs w:val="32"/>
        </w:rPr>
        <w:t>在县内机关事业单位工作的，在同等条件下可优先提拔</w:t>
      </w:r>
      <w:r>
        <w:rPr>
          <w:rFonts w:hint="eastAsia" w:ascii="Times New Roman" w:hAnsi="Times New Roman" w:eastAsia="仿宋_GB2312" w:cs="Times New Roman"/>
          <w:sz w:val="32"/>
          <w:szCs w:val="32"/>
          <w:lang w:val="en-US" w:eastAsia="zh-CN"/>
        </w:rPr>
        <w:t>重</w:t>
      </w:r>
      <w:r>
        <w:rPr>
          <w:rFonts w:ascii="Times New Roman" w:hAnsi="Times New Roman" w:eastAsia="仿宋_GB2312" w:cs="Times New Roman"/>
          <w:sz w:val="32"/>
          <w:szCs w:val="32"/>
        </w:rPr>
        <w:t>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职级晋升</w:t>
      </w:r>
      <w:r>
        <w:rPr>
          <w:rFonts w:ascii="Times New Roman" w:hAnsi="Times New Roman" w:eastAsia="仿宋_GB2312" w:cs="Times New Roman"/>
          <w:sz w:val="32"/>
          <w:szCs w:val="32"/>
        </w:rPr>
        <w:t>；从事专业技术工作的，在申报科研项目立项和职称评定等方面给予政策倾斜。</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pPr>
      <w:r>
        <w:rPr>
          <w:rFonts w:hint="eastAsia" w:ascii="Times New Roman" w:hAnsi="Times New Roman" w:eastAsia="仿宋_GB2312" w:cs="Times New Roman"/>
          <w:b/>
          <w:bCs/>
          <w:sz w:val="32"/>
          <w:szCs w:val="32"/>
        </w:rPr>
        <w:t>10</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技能提升激励</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代表我县参加州级及以上职业技能竞赛的，给予500元/天参赛补贴。企业人才新取得与岗位相匹配的高级工及以上职业技能等级证书的，给予</w:t>
      </w:r>
      <w:r>
        <w:rPr>
          <w:rFonts w:hint="eastAsia" w:ascii="Times New Roman" w:hAnsi="Times New Roman" w:eastAsia="仿宋_GB2312" w:cs="Times New Roman"/>
          <w:color w:val="000000" w:themeColor="text1"/>
          <w:sz w:val="32"/>
          <w:szCs w:val="32"/>
          <w14:textFill>
            <w14:solidFill>
              <w14:schemeClr w14:val="tx1"/>
            </w14:solidFill>
          </w14:textFill>
        </w:rPr>
        <w:t>1000元</w:t>
      </w:r>
      <w:r>
        <w:rPr>
          <w:rFonts w:hint="eastAsia" w:ascii="Times New Roman" w:hAnsi="Times New Roman" w:eastAsia="仿宋_GB2312" w:cs="Times New Roman"/>
          <w:sz w:val="32"/>
          <w:szCs w:val="32"/>
        </w:rPr>
        <w:t>的技能提升奖励。技能大师工作室开展带徒授艺成效明显，且所带弟子年度经职业技能鉴定（认定）考核5人以上取得高级工及以上职业技能等级证书（职业资格证书）的，给予一次性1万元人才培养奖励。</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11</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企业人才培养奖励</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新取得与岗位相匹配的高级技师、技师、高级工职业技能等级证书（职业资格证书）的，分别给予最高1.8万元/年、1.2万元/年、0.4万元/年技能补助，享受3年，并一次性给予企业最高1万元/人、0.5万元/人、0.25万元/人的培养奖励。</w:t>
      </w:r>
    </w:p>
    <w:p>
      <w:pPr>
        <w:pStyle w:val="4"/>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ascii="Times New Roman" w:hAnsi="Times New Roman" w:eastAsia="仿宋_GB2312" w:cs="Times New Roman"/>
          <w:color w:val="FF0000"/>
          <w:sz w:val="32"/>
          <w:szCs w:val="32"/>
        </w:rPr>
      </w:pPr>
      <w:r>
        <w:rPr>
          <w:rFonts w:hint="eastAsia" w:ascii="Times New Roman" w:hAnsi="Times New Roman" w:eastAsia="仿宋_GB2312" w:cs="Times New Roman"/>
          <w:b/>
          <w:bCs/>
          <w:sz w:val="32"/>
          <w:szCs w:val="32"/>
        </w:rPr>
        <w:t>12</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校企人才培养奖励</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支持我县企业对接院校合作开展订单式培养，</w:t>
      </w:r>
      <w:r>
        <w:rPr>
          <w:rFonts w:hint="eastAsia" w:ascii="Times New Roman" w:hAnsi="Times New Roman" w:eastAsia="仿宋_GB2312" w:cs="Times New Roman"/>
          <w:color w:val="000000" w:themeColor="text1"/>
          <w:sz w:val="32"/>
          <w:szCs w:val="32"/>
          <w14:textFill>
            <w14:solidFill>
              <w14:schemeClr w14:val="tx1"/>
            </w14:solidFill>
          </w14:textFill>
        </w:rPr>
        <w:t>企业每聘用5名技师或10名高级工或20名中级工的，分别给予企业一次性3万元补助，一家企业最多补助20万元。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（二）县本级机关事业单位全职引进的高层次、急需紧缺人才享受</w:t>
      </w:r>
      <w:r>
        <w:rPr>
          <w:rFonts w:hint="eastAsia" w:ascii="Times New Roman" w:hAnsi="Times New Roman" w:eastAsia="仿宋_GB2312" w:cs="Times New Roman"/>
          <w:sz w:val="32"/>
          <w:szCs w:val="32"/>
          <w:lang w:val="en-US" w:eastAsia="zh-CN"/>
        </w:rPr>
        <w:t>第九条第（一）款中第</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10项政策待遇</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国企、</w:t>
      </w:r>
      <w:r>
        <w:rPr>
          <w:rFonts w:hint="eastAsia" w:ascii="Times New Roman" w:hAnsi="Times New Roman" w:eastAsia="仿宋_GB2312" w:cs="Times New Roman"/>
          <w:sz w:val="32"/>
          <w:szCs w:val="32"/>
        </w:rPr>
        <w:t>“四上企业”</w:t>
      </w:r>
      <w:r>
        <w:rPr>
          <w:rFonts w:ascii="Times New Roman" w:hAnsi="Times New Roman" w:eastAsia="仿宋_GB2312" w:cs="Times New Roman"/>
          <w:sz w:val="32"/>
          <w:szCs w:val="32"/>
        </w:rPr>
        <w:t>引进的高层次人才，享受第</w:t>
      </w:r>
      <w:r>
        <w:rPr>
          <w:rFonts w:hint="eastAsia" w:ascii="Times New Roman" w:hAnsi="Times New Roman" w:eastAsia="仿宋_GB2312" w:cs="Times New Roman"/>
          <w:sz w:val="32"/>
          <w:szCs w:val="32"/>
          <w:lang w:val="en-US" w:eastAsia="zh-CN"/>
        </w:rPr>
        <w:t>9条第（一）款中第</w:t>
      </w:r>
      <w:r>
        <w:rPr>
          <w:rFonts w:ascii="Times New Roman" w:hAnsi="Times New Roman" w:eastAsia="仿宋_GB2312" w:cs="Times New Roman"/>
          <w:sz w:val="32"/>
          <w:szCs w:val="32"/>
        </w:rPr>
        <w:t>1、3、4、5、6</w:t>
      </w:r>
      <w:r>
        <w:rPr>
          <w:rFonts w:hint="eastAsia" w:ascii="Times New Roman" w:hAnsi="Times New Roman" w:eastAsia="仿宋_GB2312" w:cs="Times New Roman"/>
          <w:sz w:val="32"/>
          <w:szCs w:val="32"/>
        </w:rPr>
        <w:t>、10、11、12</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项政策待遇</w:t>
      </w:r>
      <w:r>
        <w:rPr>
          <w:rFonts w:hint="eastAsia" w:ascii="Times New Roman" w:hAnsi="Times New Roman" w:eastAsia="仿宋_GB2312" w:cs="Times New Roman"/>
          <w:sz w:val="32"/>
          <w:szCs w:val="32"/>
        </w:rPr>
        <w:t>，由用人企业自行保障过渡性住房，并</w:t>
      </w:r>
      <w:r>
        <w:rPr>
          <w:rFonts w:ascii="Times New Roman" w:hAnsi="Times New Roman" w:eastAsia="仿宋_GB2312" w:cs="Times New Roman"/>
          <w:sz w:val="32"/>
          <w:szCs w:val="32"/>
        </w:rPr>
        <w:t>在申报科研项目立项和职称评定等方面给予政策倾斜。购房补助和生活补助，由县人才发展专项</w:t>
      </w:r>
      <w:r>
        <w:rPr>
          <w:rFonts w:hint="eastAsia" w:ascii="Times New Roman" w:hAnsi="Times New Roman" w:eastAsia="仿宋_GB2312" w:cs="Times New Roman"/>
          <w:sz w:val="32"/>
          <w:szCs w:val="32"/>
        </w:rPr>
        <w:t>基金</w:t>
      </w:r>
      <w:r>
        <w:rPr>
          <w:rFonts w:ascii="Times New Roman" w:hAnsi="Times New Roman" w:eastAsia="仿宋_GB2312" w:cs="Times New Roman"/>
          <w:sz w:val="32"/>
          <w:szCs w:val="32"/>
        </w:rPr>
        <w:t>按相应金额1/2的标准进行补助，其余资金由用人单位进行配套，补助期为三年。</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黑体" w:cs="Times New Roman"/>
          <w:spacing w:val="-6"/>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）柔</w:t>
      </w:r>
      <w:r>
        <w:rPr>
          <w:rFonts w:ascii="Times New Roman" w:hAnsi="Times New Roman" w:eastAsia="仿宋_GB2312" w:cs="Times New Roman"/>
          <w:spacing w:val="-6"/>
          <w:sz w:val="32"/>
          <w:szCs w:val="32"/>
        </w:rPr>
        <w:t>性引进的人才及用人单位，享受的经济待遇详见附件。</w:t>
      </w:r>
    </w:p>
    <w:p>
      <w:pPr>
        <w:pStyle w:val="3"/>
        <w:spacing w:after="0" w:line="560" w:lineRule="exact"/>
        <w:ind w:firstLine="640" w:firstLineChars="200"/>
        <w:jc w:val="both"/>
        <w:rPr>
          <w:rFonts w:ascii="Times New Roman" w:hAnsi="Times New Roman" w:eastAsia="黑体" w:cs="Times New Roman"/>
          <w:sz w:val="32"/>
          <w:szCs w:val="32"/>
        </w:rPr>
      </w:pP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七</w:t>
      </w:r>
      <w:r>
        <w:rPr>
          <w:rFonts w:ascii="Times New Roman" w:hAnsi="Times New Roman" w:eastAsia="黑体" w:cs="Times New Roman"/>
          <w:sz w:val="32"/>
          <w:szCs w:val="32"/>
        </w:rPr>
        <w:t xml:space="preserve">章  附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第十</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w:t>
      </w:r>
      <w:r>
        <w:rPr>
          <w:rFonts w:hint="eastAsia" w:ascii="Times New Roman" w:hAnsi="Times New Roman" w:eastAsia="黑体"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本办法印发前引进的高层次、急需紧缺人才，按原政策享受待遇。</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第十</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七</w:t>
      </w:r>
      <w:r>
        <w:rPr>
          <w:rFonts w:hint="eastAsia" w:ascii="Times New Roman" w:hAnsi="Times New Roman" w:eastAsia="黑体" w:cs="Times New Roman"/>
          <w:color w:val="000000" w:themeColor="text1"/>
          <w:sz w:val="32"/>
          <w:szCs w:val="32"/>
          <w14:textFill>
            <w14:solidFill>
              <w14:schemeClr w14:val="tx1"/>
            </w14:solidFill>
          </w14:textFill>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本办法自发布之日起施行。</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八</w:t>
      </w:r>
      <w:r>
        <w:rPr>
          <w:rFonts w:hint="eastAsia" w:ascii="Times New Roman" w:hAnsi="Times New Roman" w:eastAsia="黑体" w:cs="Times New Roman"/>
          <w:sz w:val="32"/>
          <w:szCs w:val="32"/>
        </w:rPr>
        <w:t>条</w:t>
      </w:r>
      <w:r>
        <w:rPr>
          <w:rFonts w:ascii="Times New Roman" w:hAnsi="Times New Roman" w:eastAsia="仿宋_GB2312" w:cs="Times New Roman"/>
          <w:sz w:val="32"/>
          <w:szCs w:val="32"/>
        </w:rPr>
        <w:t xml:space="preserve">  本办法由县委人才办负责解释。</w:t>
      </w:r>
    </w:p>
    <w:p>
      <w:pPr>
        <w:keepNext w:val="0"/>
        <w:keepLines w:val="0"/>
        <w:pageBreakBefore w:val="0"/>
        <w:widowControl w:val="0"/>
        <w:kinsoku/>
        <w:wordWrap/>
        <w:overflowPunct/>
        <w:topLinePunct w:val="0"/>
        <w:autoSpaceDE/>
        <w:autoSpaceDN/>
        <w:bidi w:val="0"/>
        <w:adjustRightInd/>
        <w:spacing w:line="58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附件：保靖县人才引进分类目录及相关待遇</w:t>
      </w:r>
    </w:p>
    <w:p>
      <w:pPr>
        <w:pStyle w:val="4"/>
      </w:pPr>
    </w:p>
    <w:p>
      <w:pPr>
        <w:spacing w:before="309" w:line="560" w:lineRule="exact"/>
        <w:jc w:val="left"/>
        <w:rPr>
          <w:rFonts w:ascii="Times New Roman" w:hAnsi="Times New Roman" w:eastAsia="仿宋_GB2312" w:cs="Times New Roman"/>
          <w:b/>
          <w:bCs/>
          <w:spacing w:val="-16"/>
          <w:sz w:val="32"/>
          <w:szCs w:val="32"/>
        </w:rPr>
      </w:pPr>
    </w:p>
    <w:p>
      <w:pPr>
        <w:spacing w:before="309" w:line="560" w:lineRule="exact"/>
        <w:jc w:val="left"/>
        <w:rPr>
          <w:rFonts w:ascii="Times New Roman" w:hAnsi="Times New Roman" w:cs="Times New Roman"/>
          <w:sz w:val="32"/>
          <w:szCs w:val="32"/>
        </w:rPr>
      </w:pPr>
      <w:bookmarkStart w:id="0" w:name="_GoBack"/>
      <w:bookmarkEnd w:id="0"/>
      <w:r>
        <w:rPr>
          <w:rFonts w:ascii="Times New Roman" w:hAnsi="Times New Roman" w:eastAsia="仿宋_GB2312" w:cs="Times New Roman"/>
          <w:b/>
          <w:bCs/>
          <w:spacing w:val="-16"/>
          <w:sz w:val="32"/>
          <w:szCs w:val="32"/>
        </w:rPr>
        <w:t>附</w:t>
      </w:r>
      <w:r>
        <w:rPr>
          <w:rFonts w:ascii="Times New Roman" w:hAnsi="Times New Roman" w:eastAsia="仿宋_GB2312" w:cs="Times New Roman"/>
          <w:spacing w:val="-61"/>
          <w:sz w:val="32"/>
          <w:szCs w:val="32"/>
        </w:rPr>
        <w:t xml:space="preserve"> </w:t>
      </w:r>
      <w:r>
        <w:rPr>
          <w:rFonts w:ascii="Times New Roman" w:hAnsi="Times New Roman" w:eastAsia="仿宋_GB2312" w:cs="Times New Roman"/>
          <w:b/>
          <w:bCs/>
          <w:spacing w:val="-16"/>
          <w:sz w:val="32"/>
          <w:szCs w:val="32"/>
        </w:rPr>
        <w:t>件</w:t>
      </w:r>
    </w:p>
    <w:p>
      <w:pPr>
        <w:spacing w:before="140" w:line="560" w:lineRule="exact"/>
        <w:ind w:firstLine="442" w:firstLineChars="100"/>
        <w:jc w:val="center"/>
        <w:rPr>
          <w:rFonts w:ascii="Times New Roman" w:hAnsi="Times New Roman" w:eastAsia="方正小标宋简体" w:cs="Times New Roman"/>
          <w:spacing w:val="1"/>
          <w:sz w:val="44"/>
          <w:szCs w:val="44"/>
        </w:rPr>
      </w:pPr>
      <w:r>
        <w:rPr>
          <w:rFonts w:ascii="Times New Roman" w:hAnsi="Times New Roman" w:eastAsia="方正小标宋简体" w:cs="Times New Roman"/>
          <w:spacing w:val="1"/>
          <w:sz w:val="44"/>
          <w:szCs w:val="44"/>
        </w:rPr>
        <w:t>保靖县人才引进分类目录及相关待遇</w:t>
      </w:r>
    </w:p>
    <w:tbl>
      <w:tblPr>
        <w:tblStyle w:val="6"/>
        <w:tblpPr w:leftFromText="180" w:rightFromText="180" w:vertAnchor="text" w:horzAnchor="page" w:tblpX="1474" w:tblpY="471"/>
        <w:tblOverlap w:val="never"/>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22"/>
        <w:gridCol w:w="495"/>
        <w:gridCol w:w="3766"/>
        <w:gridCol w:w="185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blHeader/>
        </w:trPr>
        <w:tc>
          <w:tcPr>
            <w:tcW w:w="1090" w:type="dxa"/>
            <w:vAlign w:val="center"/>
          </w:tcPr>
          <w:p>
            <w:pPr>
              <w:pStyle w:val="8"/>
              <w:spacing w:line="280" w:lineRule="exact"/>
              <w:jc w:val="center"/>
              <w:rPr>
                <w:rFonts w:hint="eastAsia" w:ascii="黑体" w:hAnsi="黑体" w:eastAsia="黑体" w:cs="黑体"/>
                <w:spacing w:val="4"/>
                <w:sz w:val="24"/>
                <w:szCs w:val="24"/>
                <w:lang w:eastAsia="zh-CN"/>
              </w:rPr>
            </w:pPr>
            <w:r>
              <w:rPr>
                <w:rFonts w:hint="eastAsia" w:ascii="黑体" w:hAnsi="黑体" w:eastAsia="黑体" w:cs="黑体"/>
                <w:spacing w:val="4"/>
                <w:sz w:val="24"/>
                <w:szCs w:val="24"/>
                <w:lang w:eastAsia="zh-CN"/>
              </w:rPr>
              <w:t>引进</w:t>
            </w:r>
          </w:p>
          <w:p>
            <w:pPr>
              <w:pStyle w:val="8"/>
              <w:spacing w:line="280" w:lineRule="exact"/>
              <w:jc w:val="center"/>
              <w:rPr>
                <w:rFonts w:hint="eastAsia" w:ascii="黑体" w:hAnsi="黑体" w:eastAsia="黑体" w:cs="黑体"/>
                <w:spacing w:val="4"/>
                <w:sz w:val="24"/>
                <w:szCs w:val="24"/>
                <w:lang w:eastAsia="zh-CN"/>
              </w:rPr>
            </w:pPr>
            <w:r>
              <w:rPr>
                <w:rFonts w:hint="eastAsia" w:ascii="黑体" w:hAnsi="黑体" w:eastAsia="黑体" w:cs="黑体"/>
                <w:spacing w:val="4"/>
                <w:sz w:val="24"/>
                <w:szCs w:val="24"/>
                <w:lang w:eastAsia="zh-CN"/>
              </w:rPr>
              <w:t>范围</w:t>
            </w:r>
          </w:p>
        </w:tc>
        <w:tc>
          <w:tcPr>
            <w:tcW w:w="1217" w:type="dxa"/>
            <w:gridSpan w:val="2"/>
            <w:vAlign w:val="center"/>
          </w:tcPr>
          <w:p>
            <w:pPr>
              <w:pStyle w:val="8"/>
              <w:spacing w:line="280" w:lineRule="exact"/>
              <w:jc w:val="center"/>
              <w:rPr>
                <w:rFonts w:hint="eastAsia" w:ascii="黑体" w:hAnsi="黑体" w:eastAsia="黑体" w:cs="黑体"/>
                <w:sz w:val="24"/>
                <w:szCs w:val="24"/>
              </w:rPr>
            </w:pPr>
            <w:r>
              <w:rPr>
                <w:rFonts w:hint="eastAsia" w:ascii="黑体" w:hAnsi="黑体" w:eastAsia="黑体" w:cs="黑体"/>
                <w:spacing w:val="4"/>
                <w:sz w:val="24"/>
                <w:szCs w:val="24"/>
              </w:rPr>
              <w:t>类别</w:t>
            </w:r>
          </w:p>
        </w:tc>
        <w:tc>
          <w:tcPr>
            <w:tcW w:w="3766" w:type="dxa"/>
            <w:vAlign w:val="center"/>
          </w:tcPr>
          <w:p>
            <w:pPr>
              <w:pStyle w:val="8"/>
              <w:spacing w:line="280" w:lineRule="exact"/>
              <w:jc w:val="center"/>
              <w:rPr>
                <w:rFonts w:hint="eastAsia" w:ascii="黑体" w:hAnsi="黑体" w:eastAsia="黑体" w:cs="黑体"/>
                <w:sz w:val="24"/>
                <w:szCs w:val="24"/>
              </w:rPr>
            </w:pPr>
            <w:r>
              <w:rPr>
                <w:rFonts w:hint="eastAsia" w:ascii="黑体" w:hAnsi="黑体" w:eastAsia="黑体" w:cs="黑体"/>
                <w:spacing w:val="-5"/>
                <w:sz w:val="24"/>
                <w:szCs w:val="24"/>
              </w:rPr>
              <w:t>认定条件</w:t>
            </w:r>
          </w:p>
        </w:tc>
        <w:tc>
          <w:tcPr>
            <w:tcW w:w="1850" w:type="dxa"/>
            <w:vAlign w:val="center"/>
          </w:tcPr>
          <w:p>
            <w:pPr>
              <w:pStyle w:val="8"/>
              <w:spacing w:line="280" w:lineRule="exact"/>
              <w:jc w:val="center"/>
              <w:rPr>
                <w:rFonts w:hint="eastAsia" w:ascii="黑体" w:hAnsi="黑体" w:eastAsia="黑体" w:cs="黑体"/>
                <w:sz w:val="24"/>
                <w:szCs w:val="24"/>
              </w:rPr>
            </w:pPr>
            <w:r>
              <w:rPr>
                <w:rFonts w:hint="eastAsia" w:ascii="黑体" w:hAnsi="黑体" w:eastAsia="黑体" w:cs="黑体"/>
                <w:spacing w:val="-5"/>
                <w:sz w:val="24"/>
                <w:szCs w:val="24"/>
                <w:lang w:eastAsia="zh-CN"/>
              </w:rPr>
              <w:t>专家个人</w:t>
            </w:r>
            <w:r>
              <w:rPr>
                <w:rFonts w:hint="eastAsia" w:ascii="黑体" w:hAnsi="黑体" w:eastAsia="黑体" w:cs="黑体"/>
                <w:spacing w:val="-5"/>
                <w:sz w:val="24"/>
                <w:szCs w:val="24"/>
              </w:rPr>
              <w:t>补助</w:t>
            </w:r>
          </w:p>
        </w:tc>
        <w:tc>
          <w:tcPr>
            <w:tcW w:w="1506" w:type="dxa"/>
            <w:vAlign w:val="center"/>
          </w:tcPr>
          <w:p>
            <w:pPr>
              <w:pStyle w:val="8"/>
              <w:spacing w:line="280" w:lineRule="exact"/>
              <w:jc w:val="center"/>
              <w:rPr>
                <w:rFonts w:hint="eastAsia" w:ascii="黑体" w:hAnsi="黑体" w:eastAsia="黑体" w:cs="黑体"/>
                <w:spacing w:val="-5"/>
                <w:sz w:val="24"/>
                <w:szCs w:val="24"/>
                <w:lang w:eastAsia="zh-CN"/>
              </w:rPr>
            </w:pPr>
            <w:r>
              <w:rPr>
                <w:rFonts w:hint="eastAsia" w:ascii="黑体" w:hAnsi="黑体" w:eastAsia="黑体" w:cs="黑体"/>
                <w:spacing w:val="-5"/>
                <w:sz w:val="24"/>
                <w:szCs w:val="24"/>
                <w:lang w:eastAsia="zh-CN"/>
              </w:rPr>
              <w:t>引进单位开展人才工作的补助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1" w:hRule="atLeast"/>
        </w:trPr>
        <w:tc>
          <w:tcPr>
            <w:tcW w:w="1090" w:type="dxa"/>
            <w:vAlign w:val="center"/>
          </w:tcPr>
          <w:p>
            <w:pPr>
              <w:pStyle w:val="8"/>
              <w:spacing w:line="280" w:lineRule="exact"/>
              <w:jc w:val="center"/>
              <w:rPr>
                <w:rFonts w:hint="eastAsia"/>
                <w:b/>
                <w:bCs/>
                <w:spacing w:val="-1"/>
                <w:sz w:val="24"/>
                <w:szCs w:val="24"/>
                <w:lang w:eastAsia="zh-CN"/>
              </w:rPr>
            </w:pPr>
            <w:r>
              <w:rPr>
                <w:rFonts w:hint="eastAsia"/>
                <w:b/>
                <w:bCs/>
                <w:spacing w:val="-1"/>
                <w:sz w:val="24"/>
                <w:szCs w:val="24"/>
                <w:lang w:eastAsia="zh-CN"/>
              </w:rPr>
              <w:t>柔性引进人才</w:t>
            </w:r>
          </w:p>
        </w:tc>
        <w:tc>
          <w:tcPr>
            <w:tcW w:w="1217" w:type="dxa"/>
            <w:gridSpan w:val="2"/>
            <w:vAlign w:val="center"/>
          </w:tcPr>
          <w:p>
            <w:pPr>
              <w:pStyle w:val="8"/>
              <w:spacing w:line="280" w:lineRule="exact"/>
              <w:jc w:val="center"/>
              <w:rPr>
                <w:rFonts w:hint="eastAsia"/>
                <w:b/>
                <w:bCs/>
                <w:spacing w:val="-1"/>
                <w:sz w:val="24"/>
                <w:szCs w:val="24"/>
                <w:lang w:eastAsia="zh-CN"/>
              </w:rPr>
            </w:pPr>
            <w:r>
              <w:rPr>
                <w:rFonts w:hint="eastAsia"/>
                <w:b/>
                <w:bCs/>
                <w:spacing w:val="-1"/>
                <w:sz w:val="24"/>
                <w:szCs w:val="24"/>
                <w:lang w:eastAsia="zh-CN"/>
              </w:rPr>
              <w:t>A类</w:t>
            </w:r>
          </w:p>
          <w:p>
            <w:pPr>
              <w:pStyle w:val="8"/>
              <w:spacing w:line="280" w:lineRule="exact"/>
              <w:jc w:val="center"/>
              <w:rPr>
                <w:rFonts w:hint="eastAsia"/>
                <w:sz w:val="24"/>
                <w:szCs w:val="24"/>
                <w:lang w:eastAsia="zh-CN"/>
              </w:rPr>
            </w:pPr>
            <w:r>
              <w:rPr>
                <w:rFonts w:hint="eastAsia"/>
                <w:b/>
                <w:bCs/>
                <w:spacing w:val="-1"/>
                <w:sz w:val="24"/>
                <w:szCs w:val="24"/>
                <w:lang w:eastAsia="zh-CN"/>
              </w:rPr>
              <w:t>（省级及以上）</w:t>
            </w:r>
          </w:p>
        </w:tc>
        <w:tc>
          <w:tcPr>
            <w:tcW w:w="3766" w:type="dxa"/>
            <w:vAlign w:val="center"/>
          </w:tcPr>
          <w:p>
            <w:pPr>
              <w:pStyle w:val="8"/>
              <w:spacing w:line="280" w:lineRule="exact"/>
              <w:ind w:firstLine="480" w:firstLineChars="200"/>
              <w:rPr>
                <w:rFonts w:hint="eastAsia"/>
                <w:sz w:val="24"/>
                <w:szCs w:val="24"/>
                <w:lang w:eastAsia="zh-CN"/>
              </w:rPr>
            </w:pPr>
            <w:r>
              <w:rPr>
                <w:rFonts w:hint="eastAsia"/>
                <w:sz w:val="24"/>
                <w:szCs w:val="24"/>
                <w:lang w:eastAsia="zh-CN"/>
              </w:rPr>
              <w:t>1.享受国务院特殊津贴专家；</w:t>
            </w:r>
          </w:p>
          <w:p>
            <w:pPr>
              <w:pStyle w:val="8"/>
              <w:spacing w:line="280" w:lineRule="exact"/>
              <w:ind w:firstLine="480" w:firstLineChars="200"/>
              <w:rPr>
                <w:rFonts w:hint="eastAsia"/>
                <w:sz w:val="24"/>
                <w:szCs w:val="24"/>
                <w:lang w:eastAsia="zh-CN"/>
              </w:rPr>
            </w:pPr>
            <w:r>
              <w:rPr>
                <w:rFonts w:hint="eastAsia"/>
                <w:sz w:val="24"/>
                <w:szCs w:val="24"/>
                <w:lang w:eastAsia="zh-CN"/>
              </w:rPr>
              <w:t>2.省部级</w:t>
            </w:r>
            <w:r>
              <w:rPr>
                <w:rFonts w:hint="eastAsia"/>
                <w:sz w:val="24"/>
                <w:szCs w:val="24"/>
                <w:lang w:val="en-US" w:eastAsia="zh-CN"/>
              </w:rPr>
              <w:t>优秀专家或省部级学术技术带头人及教育、卫生、美术、中医等省部级专家</w:t>
            </w:r>
            <w:r>
              <w:rPr>
                <w:rFonts w:hint="eastAsia"/>
                <w:sz w:val="24"/>
                <w:szCs w:val="24"/>
                <w:lang w:eastAsia="zh-CN"/>
              </w:rPr>
              <w:t>；</w:t>
            </w:r>
          </w:p>
          <w:p>
            <w:pPr>
              <w:pStyle w:val="8"/>
              <w:spacing w:line="280" w:lineRule="exact"/>
              <w:ind w:firstLine="480" w:firstLineChars="200"/>
              <w:rPr>
                <w:rFonts w:hint="eastAsia"/>
                <w:sz w:val="24"/>
                <w:szCs w:val="24"/>
                <w:lang w:val="en-US" w:eastAsia="zh-CN"/>
              </w:rPr>
            </w:pPr>
            <w:r>
              <w:rPr>
                <w:rFonts w:hint="eastAsia"/>
                <w:sz w:val="24"/>
                <w:szCs w:val="24"/>
                <w:lang w:val="en-US" w:eastAsia="zh-CN"/>
              </w:rPr>
              <w:t>3</w:t>
            </w:r>
            <w:r>
              <w:rPr>
                <w:rFonts w:hint="eastAsia"/>
                <w:sz w:val="24"/>
                <w:szCs w:val="24"/>
                <w:lang w:eastAsia="zh-CN"/>
              </w:rPr>
              <w:t>.智库、产业发展服务平台、咨询机构、专业化人才团队等负责人</w:t>
            </w:r>
            <w:r>
              <w:rPr>
                <w:rFonts w:hint="eastAsia"/>
                <w:sz w:val="24"/>
                <w:szCs w:val="24"/>
                <w:lang w:val="en-US" w:eastAsia="zh-CN"/>
              </w:rPr>
              <w:t>；</w:t>
            </w:r>
          </w:p>
          <w:p>
            <w:pPr>
              <w:pStyle w:val="8"/>
              <w:spacing w:line="280" w:lineRule="exact"/>
              <w:ind w:firstLine="480" w:firstLineChars="200"/>
              <w:rPr>
                <w:rFonts w:hint="eastAsia"/>
                <w:sz w:val="24"/>
                <w:szCs w:val="24"/>
                <w:lang w:eastAsia="zh-CN"/>
              </w:rPr>
            </w:pPr>
            <w:r>
              <w:rPr>
                <w:rFonts w:hint="eastAsia"/>
                <w:sz w:val="24"/>
                <w:szCs w:val="24"/>
                <w:lang w:val="en-US" w:eastAsia="zh-CN"/>
              </w:rPr>
              <w:t>4.</w:t>
            </w:r>
            <w:r>
              <w:rPr>
                <w:rFonts w:hint="eastAsia"/>
                <w:sz w:val="24"/>
                <w:szCs w:val="24"/>
                <w:lang w:eastAsia="zh-CN"/>
              </w:rPr>
              <w:t>其他相当于上述层次或超过上述层次的领军人才。</w:t>
            </w:r>
          </w:p>
        </w:tc>
        <w:tc>
          <w:tcPr>
            <w:tcW w:w="1850" w:type="dxa"/>
            <w:vAlign w:val="center"/>
          </w:tcPr>
          <w:p>
            <w:pPr>
              <w:pStyle w:val="8"/>
              <w:spacing w:line="280" w:lineRule="exact"/>
              <w:rPr>
                <w:rFonts w:hint="default"/>
                <w:sz w:val="24"/>
                <w:szCs w:val="24"/>
                <w:lang w:val="en-US" w:eastAsia="zh-CN"/>
              </w:rPr>
            </w:pPr>
            <w:r>
              <w:rPr>
                <w:rFonts w:hint="eastAsia"/>
                <w:sz w:val="24"/>
                <w:szCs w:val="24"/>
                <w:lang w:val="en-US" w:eastAsia="zh-CN"/>
              </w:rPr>
              <w:t>1.对采用项目合作契约方式柔性引进的专家，补助以双方签订的协议为准；</w:t>
            </w:r>
          </w:p>
          <w:p>
            <w:pPr>
              <w:pStyle w:val="8"/>
              <w:spacing w:line="280" w:lineRule="exact"/>
              <w:rPr>
                <w:rFonts w:hint="default"/>
                <w:sz w:val="24"/>
                <w:szCs w:val="24"/>
                <w:lang w:val="en-US" w:eastAsia="zh-CN"/>
              </w:rPr>
            </w:pPr>
            <w:r>
              <w:rPr>
                <w:rFonts w:hint="eastAsia"/>
                <w:sz w:val="24"/>
                <w:szCs w:val="24"/>
                <w:lang w:val="en-US" w:eastAsia="zh-CN"/>
              </w:rPr>
              <w:t>2.对短期聘用的专家，省级按2000元/天给予补助，最高不超过10万元。</w:t>
            </w:r>
          </w:p>
        </w:tc>
        <w:tc>
          <w:tcPr>
            <w:tcW w:w="1506" w:type="dxa"/>
            <w:vAlign w:val="center"/>
          </w:tcPr>
          <w:p>
            <w:pPr>
              <w:pStyle w:val="8"/>
              <w:spacing w:line="280" w:lineRule="exact"/>
              <w:rPr>
                <w:rFonts w:hint="eastAsia"/>
                <w:sz w:val="24"/>
                <w:szCs w:val="24"/>
                <w:lang w:eastAsia="zh-CN"/>
              </w:rPr>
            </w:pPr>
            <w:r>
              <w:rPr>
                <w:rFonts w:hint="eastAsia"/>
                <w:sz w:val="24"/>
                <w:szCs w:val="24"/>
                <w:lang w:eastAsia="zh-CN"/>
              </w:rPr>
              <w:t>对引进的单位给予5万元人才工作经费补助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090" w:type="dxa"/>
            <w:vAlign w:val="center"/>
          </w:tcPr>
          <w:p>
            <w:pPr>
              <w:pStyle w:val="8"/>
              <w:spacing w:line="260" w:lineRule="exact"/>
              <w:jc w:val="center"/>
              <w:rPr>
                <w:rFonts w:hint="eastAsia"/>
                <w:b/>
                <w:bCs/>
                <w:spacing w:val="-1"/>
                <w:sz w:val="24"/>
                <w:szCs w:val="24"/>
                <w:lang w:eastAsia="zh-CN"/>
              </w:rPr>
            </w:pPr>
            <w:r>
              <w:rPr>
                <w:rFonts w:hint="eastAsia"/>
                <w:b/>
                <w:bCs/>
                <w:spacing w:val="-1"/>
                <w:sz w:val="24"/>
                <w:szCs w:val="24"/>
                <w:lang w:eastAsia="zh-CN"/>
              </w:rPr>
              <w:t>柔性引进人才</w:t>
            </w:r>
          </w:p>
        </w:tc>
        <w:tc>
          <w:tcPr>
            <w:tcW w:w="1217" w:type="dxa"/>
            <w:gridSpan w:val="2"/>
            <w:vAlign w:val="center"/>
          </w:tcPr>
          <w:p>
            <w:pPr>
              <w:pStyle w:val="8"/>
              <w:spacing w:line="260" w:lineRule="exact"/>
              <w:jc w:val="center"/>
              <w:rPr>
                <w:rFonts w:hint="eastAsia"/>
                <w:b/>
                <w:bCs/>
                <w:spacing w:val="-1"/>
                <w:sz w:val="24"/>
                <w:szCs w:val="24"/>
                <w:lang w:eastAsia="zh-CN"/>
              </w:rPr>
            </w:pPr>
            <w:r>
              <w:rPr>
                <w:rFonts w:hint="eastAsia"/>
                <w:b/>
                <w:bCs/>
                <w:spacing w:val="-1"/>
                <w:sz w:val="24"/>
                <w:szCs w:val="24"/>
                <w:lang w:eastAsia="zh-CN"/>
              </w:rPr>
              <w:t>B类</w:t>
            </w:r>
          </w:p>
          <w:p>
            <w:pPr>
              <w:pStyle w:val="8"/>
              <w:spacing w:line="260" w:lineRule="exact"/>
              <w:jc w:val="center"/>
              <w:rPr>
                <w:rFonts w:hint="eastAsia"/>
                <w:b/>
                <w:bCs/>
                <w:spacing w:val="-1"/>
                <w:sz w:val="24"/>
                <w:szCs w:val="24"/>
                <w:lang w:eastAsia="zh-CN"/>
              </w:rPr>
            </w:pPr>
            <w:r>
              <w:rPr>
                <w:rFonts w:hint="eastAsia"/>
                <w:b/>
                <w:bCs/>
                <w:spacing w:val="-1"/>
                <w:sz w:val="24"/>
                <w:szCs w:val="24"/>
                <w:lang w:eastAsia="zh-CN"/>
              </w:rPr>
              <w:t>（州级）</w:t>
            </w:r>
          </w:p>
        </w:tc>
        <w:tc>
          <w:tcPr>
            <w:tcW w:w="3766" w:type="dxa"/>
            <w:vAlign w:val="center"/>
          </w:tcPr>
          <w:p>
            <w:pPr>
              <w:pStyle w:val="8"/>
              <w:spacing w:line="260" w:lineRule="exact"/>
              <w:ind w:right="138" w:firstLine="480" w:firstLineChars="200"/>
              <w:rPr>
                <w:rFonts w:hint="eastAsia"/>
                <w:sz w:val="24"/>
                <w:szCs w:val="24"/>
                <w:lang w:eastAsia="zh-CN"/>
              </w:rPr>
            </w:pPr>
            <w:r>
              <w:rPr>
                <w:rFonts w:hint="eastAsia"/>
                <w:sz w:val="24"/>
                <w:szCs w:val="24"/>
                <w:lang w:eastAsia="zh-CN"/>
              </w:rPr>
              <w:t>1.享受省政府特殊津贴专家；</w:t>
            </w:r>
          </w:p>
          <w:p>
            <w:pPr>
              <w:pStyle w:val="8"/>
              <w:spacing w:line="260" w:lineRule="exact"/>
              <w:ind w:right="138" w:firstLine="480" w:firstLineChars="200"/>
              <w:rPr>
                <w:rFonts w:hint="eastAsia"/>
                <w:sz w:val="24"/>
                <w:szCs w:val="24"/>
                <w:lang w:eastAsia="zh-CN"/>
              </w:rPr>
            </w:pPr>
            <w:r>
              <w:rPr>
                <w:rFonts w:hint="eastAsia"/>
                <w:sz w:val="24"/>
                <w:szCs w:val="24"/>
                <w:lang w:eastAsia="zh-CN"/>
              </w:rPr>
              <w:t>2.湖湘工匠获得者、湖南省企业科技创新创业团队带头人；</w:t>
            </w:r>
          </w:p>
          <w:p>
            <w:pPr>
              <w:pStyle w:val="8"/>
              <w:spacing w:line="260" w:lineRule="exact"/>
              <w:ind w:right="138" w:firstLine="480" w:firstLineChars="200"/>
              <w:rPr>
                <w:rFonts w:hint="eastAsia"/>
                <w:sz w:val="24"/>
                <w:szCs w:val="24"/>
                <w:lang w:eastAsia="zh-CN"/>
              </w:rPr>
            </w:pPr>
            <w:r>
              <w:rPr>
                <w:rFonts w:hint="eastAsia"/>
                <w:sz w:val="24"/>
                <w:szCs w:val="24"/>
                <w:lang w:eastAsia="zh-CN"/>
              </w:rPr>
              <w:t>3.具有正高级职称的专业技术人才；</w:t>
            </w:r>
          </w:p>
          <w:p>
            <w:pPr>
              <w:pStyle w:val="8"/>
              <w:spacing w:line="260" w:lineRule="exact"/>
              <w:ind w:right="138" w:firstLine="480" w:firstLineChars="200"/>
              <w:rPr>
                <w:rFonts w:hint="eastAsia"/>
                <w:sz w:val="24"/>
                <w:szCs w:val="24"/>
                <w:lang w:eastAsia="zh-CN"/>
              </w:rPr>
            </w:pPr>
            <w:r>
              <w:rPr>
                <w:rFonts w:hint="eastAsia"/>
                <w:sz w:val="24"/>
                <w:szCs w:val="24"/>
                <w:lang w:val="en-US" w:eastAsia="zh-CN"/>
              </w:rPr>
              <w:t>4</w:t>
            </w:r>
            <w:r>
              <w:rPr>
                <w:rFonts w:hint="eastAsia"/>
                <w:sz w:val="24"/>
                <w:szCs w:val="24"/>
                <w:lang w:eastAsia="zh-CN"/>
              </w:rPr>
              <w:t>.智库、产业发展服务平台、咨询机构、专业人才团队等负责人；</w:t>
            </w:r>
          </w:p>
          <w:p>
            <w:pPr>
              <w:pStyle w:val="8"/>
              <w:spacing w:line="260" w:lineRule="exact"/>
              <w:ind w:right="138" w:firstLine="480" w:firstLineChars="200"/>
              <w:rPr>
                <w:rFonts w:hint="eastAsia"/>
                <w:sz w:val="24"/>
                <w:szCs w:val="24"/>
                <w:lang w:eastAsia="zh-CN"/>
              </w:rPr>
            </w:pPr>
            <w:r>
              <w:rPr>
                <w:rFonts w:hint="eastAsia"/>
                <w:sz w:val="24"/>
                <w:szCs w:val="24"/>
                <w:lang w:val="en-US" w:eastAsia="zh-CN"/>
              </w:rPr>
              <w:t>5.</w:t>
            </w:r>
            <w:r>
              <w:rPr>
                <w:rFonts w:hint="eastAsia"/>
                <w:sz w:val="24"/>
                <w:szCs w:val="24"/>
                <w:lang w:eastAsia="zh-CN"/>
              </w:rPr>
              <w:t>其他相当于上述层次或超过上述层次的领军人才。</w:t>
            </w:r>
          </w:p>
        </w:tc>
        <w:tc>
          <w:tcPr>
            <w:tcW w:w="1850" w:type="dxa"/>
            <w:vAlign w:val="center"/>
          </w:tcPr>
          <w:p>
            <w:pPr>
              <w:pStyle w:val="8"/>
              <w:spacing w:line="280" w:lineRule="exact"/>
              <w:rPr>
                <w:rFonts w:hint="default"/>
                <w:sz w:val="24"/>
                <w:szCs w:val="24"/>
                <w:lang w:val="en-US" w:eastAsia="zh-CN"/>
              </w:rPr>
            </w:pPr>
            <w:r>
              <w:rPr>
                <w:rFonts w:hint="eastAsia"/>
                <w:sz w:val="24"/>
                <w:szCs w:val="24"/>
                <w:lang w:val="en-US" w:eastAsia="zh-CN"/>
              </w:rPr>
              <w:t>1.对采用项目合作契约方式柔性引进的专家，补助以双方签订的协议为准；</w:t>
            </w:r>
          </w:p>
          <w:p>
            <w:pPr>
              <w:pStyle w:val="8"/>
              <w:spacing w:line="260" w:lineRule="exact"/>
              <w:ind w:right="61"/>
              <w:rPr>
                <w:rFonts w:hint="eastAsia"/>
                <w:sz w:val="24"/>
                <w:szCs w:val="24"/>
                <w:lang w:eastAsia="zh-CN"/>
              </w:rPr>
            </w:pPr>
            <w:r>
              <w:rPr>
                <w:rFonts w:hint="eastAsia"/>
                <w:sz w:val="24"/>
                <w:szCs w:val="24"/>
                <w:lang w:val="en-US" w:eastAsia="zh-CN"/>
              </w:rPr>
              <w:t>2.对短期聘用的专家，按1000元/天给予补助，最高不超过5万元。</w:t>
            </w:r>
          </w:p>
        </w:tc>
        <w:tc>
          <w:tcPr>
            <w:tcW w:w="1506" w:type="dxa"/>
            <w:vAlign w:val="center"/>
          </w:tcPr>
          <w:p>
            <w:pPr>
              <w:pStyle w:val="8"/>
              <w:spacing w:line="260" w:lineRule="exact"/>
              <w:ind w:right="61"/>
              <w:rPr>
                <w:rFonts w:hint="eastAsia"/>
                <w:sz w:val="24"/>
                <w:szCs w:val="24"/>
                <w:lang w:eastAsia="zh-CN"/>
              </w:rPr>
            </w:pPr>
            <w:r>
              <w:rPr>
                <w:rFonts w:hint="eastAsia"/>
                <w:sz w:val="24"/>
                <w:szCs w:val="24"/>
                <w:lang w:eastAsia="zh-CN"/>
              </w:rPr>
              <w:t>对引进的单位给予3万元人才工作经费补助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90" w:type="dxa"/>
            <w:vAlign w:val="center"/>
          </w:tcPr>
          <w:p>
            <w:pPr>
              <w:pStyle w:val="8"/>
              <w:spacing w:line="260" w:lineRule="exact"/>
              <w:jc w:val="center"/>
              <w:rPr>
                <w:rFonts w:hint="eastAsia" w:ascii="黑体" w:hAnsi="黑体" w:eastAsia="黑体" w:cs="黑体"/>
                <w:spacing w:val="4"/>
                <w:sz w:val="24"/>
                <w:szCs w:val="24"/>
                <w:lang w:eastAsia="zh-CN"/>
              </w:rPr>
            </w:pPr>
            <w:r>
              <w:rPr>
                <w:rFonts w:hint="eastAsia" w:ascii="黑体" w:hAnsi="黑体" w:eastAsia="黑体" w:cs="黑体"/>
                <w:spacing w:val="4"/>
                <w:sz w:val="24"/>
                <w:szCs w:val="24"/>
                <w:lang w:eastAsia="zh-CN"/>
              </w:rPr>
              <w:t>引进</w:t>
            </w:r>
          </w:p>
          <w:p>
            <w:pPr>
              <w:pStyle w:val="8"/>
              <w:spacing w:line="260" w:lineRule="exact"/>
              <w:jc w:val="center"/>
              <w:rPr>
                <w:rFonts w:hint="eastAsia"/>
                <w:b/>
                <w:bCs/>
                <w:spacing w:val="-1"/>
                <w:sz w:val="24"/>
                <w:szCs w:val="24"/>
                <w:lang w:eastAsia="zh-CN"/>
              </w:rPr>
            </w:pPr>
            <w:r>
              <w:rPr>
                <w:rFonts w:hint="eastAsia" w:ascii="黑体" w:hAnsi="黑体" w:eastAsia="黑体" w:cs="黑体"/>
                <w:spacing w:val="4"/>
                <w:sz w:val="24"/>
                <w:szCs w:val="24"/>
                <w:lang w:eastAsia="zh-CN"/>
              </w:rPr>
              <w:t>范围</w:t>
            </w:r>
          </w:p>
        </w:tc>
        <w:tc>
          <w:tcPr>
            <w:tcW w:w="1217" w:type="dxa"/>
            <w:gridSpan w:val="2"/>
            <w:vAlign w:val="center"/>
          </w:tcPr>
          <w:p>
            <w:pPr>
              <w:pStyle w:val="8"/>
              <w:spacing w:line="260" w:lineRule="exact"/>
              <w:jc w:val="center"/>
              <w:rPr>
                <w:rFonts w:hint="eastAsia"/>
                <w:b/>
                <w:bCs/>
                <w:spacing w:val="-1"/>
                <w:sz w:val="24"/>
                <w:szCs w:val="24"/>
              </w:rPr>
            </w:pPr>
            <w:r>
              <w:rPr>
                <w:rFonts w:hint="eastAsia" w:ascii="黑体" w:hAnsi="黑体" w:eastAsia="黑体" w:cs="黑体"/>
                <w:spacing w:val="4"/>
                <w:sz w:val="24"/>
                <w:szCs w:val="24"/>
              </w:rPr>
              <w:t>类别</w:t>
            </w:r>
          </w:p>
        </w:tc>
        <w:tc>
          <w:tcPr>
            <w:tcW w:w="3766" w:type="dxa"/>
            <w:vAlign w:val="center"/>
          </w:tcPr>
          <w:p>
            <w:pPr>
              <w:pStyle w:val="8"/>
              <w:spacing w:line="260" w:lineRule="exact"/>
              <w:ind w:right="138" w:firstLine="460" w:firstLineChars="200"/>
              <w:jc w:val="center"/>
              <w:rPr>
                <w:rFonts w:hint="eastAsia" w:ascii="黑体" w:hAnsi="黑体" w:eastAsia="黑体" w:cs="黑体"/>
                <w:spacing w:val="-5"/>
                <w:sz w:val="24"/>
                <w:szCs w:val="24"/>
              </w:rPr>
            </w:pPr>
            <w:r>
              <w:rPr>
                <w:rFonts w:hint="eastAsia" w:ascii="黑体" w:hAnsi="黑体" w:eastAsia="黑体" w:cs="黑体"/>
                <w:spacing w:val="-5"/>
                <w:sz w:val="24"/>
                <w:szCs w:val="24"/>
              </w:rPr>
              <w:t>认定条件</w:t>
            </w:r>
          </w:p>
        </w:tc>
        <w:tc>
          <w:tcPr>
            <w:tcW w:w="1850" w:type="dxa"/>
            <w:vAlign w:val="center"/>
          </w:tcPr>
          <w:p>
            <w:pPr>
              <w:pStyle w:val="8"/>
              <w:spacing w:line="260" w:lineRule="exact"/>
              <w:ind w:right="138"/>
              <w:jc w:val="center"/>
              <w:rPr>
                <w:rFonts w:hint="eastAsia" w:ascii="黑体" w:hAnsi="黑体" w:eastAsia="黑体" w:cs="黑体"/>
                <w:spacing w:val="-5"/>
                <w:sz w:val="24"/>
                <w:szCs w:val="24"/>
              </w:rPr>
            </w:pPr>
            <w:r>
              <w:rPr>
                <w:rFonts w:hint="eastAsia" w:ascii="黑体" w:hAnsi="黑体" w:eastAsia="黑体" w:cs="黑体"/>
                <w:spacing w:val="-5"/>
                <w:sz w:val="24"/>
                <w:szCs w:val="24"/>
                <w:lang w:eastAsia="zh-CN"/>
              </w:rPr>
              <w:t>人才个人补助</w:t>
            </w:r>
          </w:p>
        </w:tc>
        <w:tc>
          <w:tcPr>
            <w:tcW w:w="1506" w:type="dxa"/>
            <w:vAlign w:val="center"/>
          </w:tcPr>
          <w:p>
            <w:pPr>
              <w:pStyle w:val="8"/>
              <w:spacing w:line="260" w:lineRule="exact"/>
              <w:jc w:val="center"/>
              <w:rPr>
                <w:rFonts w:hint="eastAsia"/>
                <w:spacing w:val="17"/>
                <w:sz w:val="24"/>
                <w:szCs w:val="24"/>
                <w:lang w:eastAsia="zh-CN"/>
              </w:rPr>
            </w:pPr>
            <w:r>
              <w:rPr>
                <w:rFonts w:hint="eastAsia" w:ascii="黑体" w:hAnsi="黑体" w:eastAsia="黑体" w:cs="黑体"/>
                <w:spacing w:val="-5"/>
                <w:sz w:val="24"/>
                <w:szCs w:val="24"/>
                <w:lang w:eastAsia="zh-CN"/>
              </w:rPr>
              <w:t>其它补助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090" w:type="dxa"/>
            <w:vMerge w:val="restart"/>
            <w:vAlign w:val="center"/>
          </w:tcPr>
          <w:p>
            <w:pPr>
              <w:pStyle w:val="3"/>
              <w:jc w:val="center"/>
              <w:rPr>
                <w:rFonts w:ascii="Times New Roman" w:hAnsi="Times New Roman" w:eastAsia="方正小标宋简体" w:cs="Times New Roman"/>
                <w:spacing w:val="1"/>
                <w:sz w:val="24"/>
              </w:rPr>
            </w:pPr>
            <w:r>
              <w:rPr>
                <w:rFonts w:hint="eastAsia" w:ascii="宋体" w:hAnsi="宋体" w:cs="宋体"/>
                <w:b/>
                <w:bCs/>
                <w:spacing w:val="-1"/>
                <w:sz w:val="24"/>
              </w:rPr>
              <w:t>全职引进高层次人才</w:t>
            </w:r>
          </w:p>
        </w:tc>
        <w:tc>
          <w:tcPr>
            <w:tcW w:w="1217" w:type="dxa"/>
            <w:gridSpan w:val="2"/>
            <w:vAlign w:val="center"/>
          </w:tcPr>
          <w:p>
            <w:pPr>
              <w:pStyle w:val="8"/>
              <w:spacing w:line="260" w:lineRule="exact"/>
              <w:jc w:val="center"/>
              <w:rPr>
                <w:rFonts w:hint="eastAsia"/>
                <w:sz w:val="24"/>
                <w:szCs w:val="24"/>
                <w:lang w:eastAsia="zh-CN"/>
              </w:rPr>
            </w:pPr>
            <w:r>
              <w:rPr>
                <w:rFonts w:hint="eastAsia"/>
                <w:b/>
                <w:bCs/>
                <w:spacing w:val="-1"/>
                <w:sz w:val="24"/>
                <w:szCs w:val="24"/>
                <w:lang w:eastAsia="zh-CN"/>
              </w:rPr>
              <w:t>C类</w:t>
            </w:r>
          </w:p>
        </w:tc>
        <w:tc>
          <w:tcPr>
            <w:tcW w:w="3766" w:type="dxa"/>
            <w:vAlign w:val="center"/>
          </w:tcPr>
          <w:p>
            <w:pPr>
              <w:pStyle w:val="8"/>
              <w:spacing w:line="260" w:lineRule="exact"/>
              <w:ind w:right="138" w:firstLine="480" w:firstLineChars="200"/>
              <w:rPr>
                <w:rFonts w:hint="eastAsia"/>
                <w:sz w:val="24"/>
                <w:szCs w:val="24"/>
                <w:lang w:eastAsia="zh-CN"/>
              </w:rPr>
            </w:pPr>
            <w:r>
              <w:rPr>
                <w:rFonts w:hint="eastAsia"/>
                <w:sz w:val="24"/>
                <w:szCs w:val="24"/>
                <w:lang w:eastAsia="zh-CN"/>
              </w:rPr>
              <w:t>1.具有博士学历学位或副高级职称的专业技术人才；</w:t>
            </w:r>
          </w:p>
          <w:p>
            <w:pPr>
              <w:pStyle w:val="8"/>
              <w:spacing w:line="260" w:lineRule="exact"/>
              <w:ind w:right="138" w:firstLine="480" w:firstLineChars="200"/>
              <w:rPr>
                <w:rFonts w:hint="eastAsia"/>
                <w:sz w:val="24"/>
                <w:szCs w:val="24"/>
                <w:lang w:eastAsia="zh-CN"/>
              </w:rPr>
            </w:pPr>
            <w:r>
              <w:rPr>
                <w:rFonts w:hint="eastAsia"/>
                <w:sz w:val="24"/>
                <w:szCs w:val="24"/>
                <w:lang w:eastAsia="zh-CN"/>
              </w:rPr>
              <w:t>2.市（州）级优秀中青年专家、享受市（州）级政府津贴的专业技术人员。</w:t>
            </w:r>
          </w:p>
        </w:tc>
        <w:tc>
          <w:tcPr>
            <w:tcW w:w="1850" w:type="dxa"/>
            <w:vAlign w:val="center"/>
          </w:tcPr>
          <w:p>
            <w:pPr>
              <w:pStyle w:val="8"/>
              <w:spacing w:line="260" w:lineRule="exact"/>
              <w:jc w:val="center"/>
              <w:rPr>
                <w:rFonts w:hint="eastAsia"/>
                <w:sz w:val="24"/>
                <w:szCs w:val="24"/>
                <w:lang w:eastAsia="zh-CN"/>
              </w:rPr>
            </w:pPr>
            <w:r>
              <w:rPr>
                <w:rFonts w:hint="eastAsia"/>
                <w:sz w:val="24"/>
                <w:szCs w:val="24"/>
                <w:lang w:eastAsia="zh-CN"/>
              </w:rPr>
              <w:t>共补助20万元，分5年进行发放</w:t>
            </w:r>
          </w:p>
        </w:tc>
        <w:tc>
          <w:tcPr>
            <w:tcW w:w="1506" w:type="dxa"/>
            <w:vAlign w:val="center"/>
          </w:tcPr>
          <w:p>
            <w:pPr>
              <w:pStyle w:val="8"/>
              <w:spacing w:line="260" w:lineRule="exact"/>
              <w:rPr>
                <w:rFonts w:hint="eastAsia"/>
                <w:spacing w:val="17"/>
                <w:sz w:val="24"/>
                <w:szCs w:val="24"/>
                <w:lang w:eastAsia="zh-CN"/>
              </w:rPr>
            </w:pPr>
            <w:r>
              <w:rPr>
                <w:rFonts w:hint="eastAsia"/>
                <w:sz w:val="24"/>
                <w:szCs w:val="24"/>
                <w:lang w:eastAsia="zh-CN"/>
              </w:rPr>
              <w:t>给予3万元购房补助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090" w:type="dxa"/>
            <w:vMerge w:val="continue"/>
            <w:vAlign w:val="center"/>
          </w:tcPr>
          <w:p>
            <w:pPr>
              <w:pStyle w:val="3"/>
              <w:jc w:val="center"/>
              <w:rPr>
                <w:rFonts w:ascii="Times New Roman" w:hAnsi="Times New Roman" w:eastAsia="方正小标宋简体" w:cs="Times New Roman"/>
                <w:spacing w:val="1"/>
                <w:sz w:val="24"/>
              </w:rPr>
            </w:pPr>
          </w:p>
        </w:tc>
        <w:tc>
          <w:tcPr>
            <w:tcW w:w="1217" w:type="dxa"/>
            <w:gridSpan w:val="2"/>
            <w:vAlign w:val="center"/>
          </w:tcPr>
          <w:p>
            <w:pPr>
              <w:pStyle w:val="8"/>
              <w:spacing w:line="260" w:lineRule="exact"/>
              <w:jc w:val="center"/>
              <w:rPr>
                <w:rFonts w:hint="eastAsia"/>
                <w:sz w:val="24"/>
                <w:szCs w:val="24"/>
              </w:rPr>
            </w:pPr>
            <w:r>
              <w:rPr>
                <w:rFonts w:hint="eastAsia"/>
                <w:b/>
                <w:bCs/>
                <w:spacing w:val="-1"/>
                <w:sz w:val="24"/>
                <w:szCs w:val="24"/>
                <w:lang w:eastAsia="zh-CN"/>
              </w:rPr>
              <w:t>D类</w:t>
            </w:r>
          </w:p>
        </w:tc>
        <w:tc>
          <w:tcPr>
            <w:tcW w:w="3766" w:type="dxa"/>
            <w:vAlign w:val="center"/>
          </w:tcPr>
          <w:p>
            <w:pPr>
              <w:pStyle w:val="8"/>
              <w:spacing w:line="260" w:lineRule="exact"/>
              <w:ind w:firstLine="480" w:firstLineChars="200"/>
              <w:rPr>
                <w:rFonts w:hint="eastAsia"/>
                <w:sz w:val="24"/>
                <w:szCs w:val="24"/>
                <w:lang w:eastAsia="zh-CN"/>
              </w:rPr>
            </w:pPr>
            <w:r>
              <w:rPr>
                <w:rFonts w:hint="eastAsia"/>
                <w:sz w:val="24"/>
                <w:szCs w:val="24"/>
                <w:lang w:eastAsia="zh-CN"/>
              </w:rPr>
              <w:t>1.“双一流”大学建设高校的全日制师范类、医学类硕士研究生；</w:t>
            </w:r>
          </w:p>
          <w:p>
            <w:pPr>
              <w:pStyle w:val="8"/>
              <w:spacing w:line="260" w:lineRule="exact"/>
              <w:ind w:firstLine="480" w:firstLineChars="200"/>
              <w:rPr>
                <w:rFonts w:hint="eastAsia"/>
                <w:sz w:val="24"/>
                <w:szCs w:val="24"/>
                <w:lang w:eastAsia="zh-CN"/>
              </w:rPr>
            </w:pPr>
            <w:r>
              <w:rPr>
                <w:rFonts w:hint="eastAsia"/>
                <w:sz w:val="24"/>
                <w:szCs w:val="24"/>
                <w:lang w:eastAsia="zh-CN"/>
              </w:rPr>
              <w:t>2.教育类、医卫类、农业类、文化类、规划类等其他急需紧缺专业硕士研究生。（急需紧缺专业根据实际需求动态变化，以引才公告为准）。</w:t>
            </w:r>
          </w:p>
        </w:tc>
        <w:tc>
          <w:tcPr>
            <w:tcW w:w="1850" w:type="dxa"/>
            <w:vAlign w:val="center"/>
          </w:tcPr>
          <w:p>
            <w:pPr>
              <w:pStyle w:val="8"/>
              <w:spacing w:line="260" w:lineRule="exact"/>
              <w:jc w:val="center"/>
              <w:rPr>
                <w:rFonts w:hint="eastAsia"/>
                <w:sz w:val="24"/>
                <w:szCs w:val="24"/>
                <w:lang w:eastAsia="zh-CN"/>
              </w:rPr>
            </w:pPr>
            <w:r>
              <w:rPr>
                <w:rFonts w:hint="eastAsia"/>
                <w:sz w:val="24"/>
                <w:szCs w:val="24"/>
                <w:lang w:eastAsia="zh-CN"/>
              </w:rPr>
              <w:t>1.共补助15万元，分5年进行发放；</w:t>
            </w:r>
          </w:p>
          <w:p>
            <w:pPr>
              <w:pStyle w:val="8"/>
              <w:spacing w:line="260" w:lineRule="exact"/>
              <w:jc w:val="center"/>
              <w:rPr>
                <w:rFonts w:hint="eastAsia"/>
                <w:sz w:val="24"/>
                <w:szCs w:val="24"/>
                <w:lang w:eastAsia="zh-CN"/>
              </w:rPr>
            </w:pPr>
            <w:r>
              <w:rPr>
                <w:rFonts w:hint="eastAsia"/>
                <w:sz w:val="24"/>
                <w:szCs w:val="24"/>
                <w:lang w:eastAsia="zh-CN"/>
              </w:rPr>
              <w:t>2.引进的医学类硕士研究生用人单位还可根据实际需求额外制定补助政策</w:t>
            </w:r>
          </w:p>
        </w:tc>
        <w:tc>
          <w:tcPr>
            <w:tcW w:w="1506" w:type="dxa"/>
            <w:vAlign w:val="center"/>
          </w:tcPr>
          <w:p>
            <w:pPr>
              <w:pStyle w:val="8"/>
              <w:spacing w:line="260" w:lineRule="exact"/>
              <w:rPr>
                <w:rFonts w:hint="eastAsia"/>
                <w:sz w:val="24"/>
                <w:szCs w:val="24"/>
                <w:lang w:eastAsia="zh-CN"/>
              </w:rPr>
            </w:pPr>
            <w:r>
              <w:rPr>
                <w:rFonts w:hint="eastAsia"/>
                <w:sz w:val="24"/>
                <w:szCs w:val="24"/>
                <w:lang w:eastAsia="zh-CN"/>
              </w:rPr>
              <w:t>给予3万元购房补助</w:t>
            </w:r>
          </w:p>
          <w:p>
            <w:pPr>
              <w:pStyle w:val="8"/>
              <w:spacing w:line="260" w:lineRule="exact"/>
              <w:rPr>
                <w:rFonts w:hint="eastAsia"/>
                <w:spacing w:val="17"/>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090" w:type="dxa"/>
            <w:vMerge w:val="restart"/>
            <w:vAlign w:val="center"/>
          </w:tcPr>
          <w:p>
            <w:pPr>
              <w:spacing w:line="260" w:lineRule="exact"/>
              <w:jc w:val="center"/>
              <w:rPr>
                <w:rFonts w:hint="eastAsia" w:ascii="宋体" w:hAnsi="宋体" w:cs="宋体"/>
                <w:b/>
                <w:bCs/>
                <w:spacing w:val="-1"/>
                <w:sz w:val="24"/>
              </w:rPr>
            </w:pPr>
            <w:r>
              <w:rPr>
                <w:rFonts w:hint="eastAsia" w:ascii="宋体" w:hAnsi="宋体" w:cs="宋体"/>
                <w:b/>
                <w:bCs/>
                <w:spacing w:val="-1"/>
                <w:sz w:val="24"/>
              </w:rPr>
              <w:t>全职引进急需紧缺人才</w:t>
            </w:r>
          </w:p>
        </w:tc>
        <w:tc>
          <w:tcPr>
            <w:tcW w:w="722" w:type="dxa"/>
            <w:vMerge w:val="restart"/>
            <w:vAlign w:val="center"/>
          </w:tcPr>
          <w:p>
            <w:pPr>
              <w:pStyle w:val="3"/>
              <w:jc w:val="center"/>
              <w:rPr>
                <w:rFonts w:ascii="Times New Roman" w:hAnsi="Times New Roman" w:eastAsia="方正小标宋简体" w:cs="Times New Roman"/>
                <w:spacing w:val="1"/>
                <w:sz w:val="24"/>
              </w:rPr>
            </w:pPr>
            <w:r>
              <w:rPr>
                <w:rFonts w:hint="eastAsia" w:ascii="宋体" w:hAnsi="宋体" w:cs="宋体"/>
                <w:b/>
                <w:bCs/>
                <w:spacing w:val="-1"/>
                <w:sz w:val="24"/>
              </w:rPr>
              <w:t>E类</w:t>
            </w:r>
          </w:p>
        </w:tc>
        <w:tc>
          <w:tcPr>
            <w:tcW w:w="495" w:type="dxa"/>
            <w:vAlign w:val="center"/>
          </w:tcPr>
          <w:p>
            <w:pPr>
              <w:pStyle w:val="3"/>
              <w:jc w:val="center"/>
              <w:rPr>
                <w:rFonts w:hint="eastAsia" w:ascii="宋体" w:hAnsi="宋体" w:cs="宋体"/>
                <w:b/>
                <w:bCs/>
                <w:spacing w:val="-1"/>
                <w:sz w:val="24"/>
              </w:rPr>
            </w:pPr>
            <w:r>
              <w:rPr>
                <w:rFonts w:hint="eastAsia" w:ascii="宋体" w:hAnsi="宋体" w:cs="宋体"/>
                <w:spacing w:val="-2"/>
                <w:sz w:val="24"/>
              </w:rPr>
              <w:t>E1</w:t>
            </w:r>
          </w:p>
        </w:tc>
        <w:tc>
          <w:tcPr>
            <w:tcW w:w="3766" w:type="dxa"/>
            <w:vAlign w:val="center"/>
          </w:tcPr>
          <w:p>
            <w:pPr>
              <w:pStyle w:val="8"/>
              <w:spacing w:line="260" w:lineRule="exact"/>
              <w:ind w:right="129" w:firstLine="480" w:firstLineChars="200"/>
              <w:rPr>
                <w:rFonts w:hint="eastAsia"/>
                <w:sz w:val="24"/>
                <w:szCs w:val="24"/>
                <w:lang w:eastAsia="zh-CN"/>
              </w:rPr>
            </w:pPr>
            <w:r>
              <w:rPr>
                <w:rFonts w:hint="eastAsia"/>
                <w:sz w:val="24"/>
                <w:szCs w:val="24"/>
                <w:lang w:eastAsia="zh-CN"/>
              </w:rPr>
              <w:t>教育部直属师范大学公费师范本科毕业生</w:t>
            </w:r>
          </w:p>
        </w:tc>
        <w:tc>
          <w:tcPr>
            <w:tcW w:w="1850" w:type="dxa"/>
            <w:vAlign w:val="center"/>
          </w:tcPr>
          <w:p>
            <w:pPr>
              <w:pStyle w:val="8"/>
              <w:numPr>
                <w:ilvl w:val="0"/>
                <w:numId w:val="1"/>
              </w:numPr>
              <w:spacing w:line="260" w:lineRule="exact"/>
              <w:rPr>
                <w:rFonts w:hint="eastAsia"/>
                <w:sz w:val="24"/>
                <w:szCs w:val="24"/>
                <w:lang w:eastAsia="zh-CN"/>
              </w:rPr>
            </w:pPr>
            <w:r>
              <w:rPr>
                <w:rFonts w:hint="eastAsia"/>
                <w:sz w:val="24"/>
                <w:szCs w:val="24"/>
                <w:lang w:eastAsia="zh-CN"/>
              </w:rPr>
              <w:t>教育部直属师范大学公费师范本科毕业生共补助15万元（分6年每年2万元进行发放，服务期结束后，一次性补助3万元）</w:t>
            </w:r>
          </w:p>
        </w:tc>
        <w:tc>
          <w:tcPr>
            <w:tcW w:w="1506" w:type="dxa"/>
            <w:vAlign w:val="center"/>
          </w:tcPr>
          <w:p>
            <w:pPr>
              <w:spacing w:line="260" w:lineRule="exact"/>
              <w:rPr>
                <w:rFonts w:hint="eastAsia" w:ascii="宋体" w:hAnsi="宋体" w:cs="宋体"/>
                <w:sz w:val="24"/>
              </w:rPr>
            </w:pPr>
            <w:r>
              <w:rPr>
                <w:rFonts w:hint="eastAsia" w:ascii="宋体" w:hAnsi="宋体" w:cs="宋体"/>
                <w:sz w:val="24"/>
              </w:rPr>
              <w:t>给予3万元购房补助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090" w:type="dxa"/>
            <w:vMerge w:val="continue"/>
            <w:vAlign w:val="center"/>
          </w:tcPr>
          <w:p>
            <w:pPr>
              <w:pStyle w:val="3"/>
              <w:jc w:val="center"/>
              <w:rPr>
                <w:rFonts w:ascii="Times New Roman" w:hAnsi="Times New Roman" w:eastAsia="方正小标宋简体" w:cs="Times New Roman"/>
                <w:spacing w:val="1"/>
                <w:sz w:val="24"/>
              </w:rPr>
            </w:pPr>
          </w:p>
        </w:tc>
        <w:tc>
          <w:tcPr>
            <w:tcW w:w="722" w:type="dxa"/>
            <w:vMerge w:val="continue"/>
            <w:vAlign w:val="center"/>
          </w:tcPr>
          <w:p>
            <w:pPr>
              <w:pStyle w:val="3"/>
              <w:jc w:val="center"/>
              <w:rPr>
                <w:rFonts w:ascii="Times New Roman" w:hAnsi="Times New Roman" w:eastAsia="方正小标宋简体" w:cs="Times New Roman"/>
                <w:spacing w:val="1"/>
                <w:sz w:val="24"/>
              </w:rPr>
            </w:pPr>
          </w:p>
        </w:tc>
        <w:tc>
          <w:tcPr>
            <w:tcW w:w="495" w:type="dxa"/>
            <w:vAlign w:val="center"/>
          </w:tcPr>
          <w:p>
            <w:pPr>
              <w:pStyle w:val="8"/>
              <w:spacing w:line="260" w:lineRule="exact"/>
              <w:jc w:val="center"/>
              <w:rPr>
                <w:rFonts w:hint="eastAsia"/>
                <w:spacing w:val="-2"/>
                <w:sz w:val="24"/>
                <w:szCs w:val="24"/>
                <w:lang w:eastAsia="zh-CN"/>
              </w:rPr>
            </w:pPr>
            <w:r>
              <w:rPr>
                <w:rFonts w:hint="eastAsia"/>
                <w:spacing w:val="-2"/>
                <w:sz w:val="24"/>
                <w:szCs w:val="24"/>
                <w:lang w:eastAsia="zh-CN"/>
              </w:rPr>
              <w:t>E2</w:t>
            </w:r>
          </w:p>
        </w:tc>
        <w:tc>
          <w:tcPr>
            <w:tcW w:w="3766" w:type="dxa"/>
            <w:vAlign w:val="center"/>
          </w:tcPr>
          <w:p>
            <w:pPr>
              <w:pStyle w:val="8"/>
              <w:spacing w:line="260" w:lineRule="exact"/>
              <w:ind w:right="129" w:firstLine="480" w:firstLineChars="200"/>
              <w:rPr>
                <w:rFonts w:hint="eastAsia"/>
                <w:sz w:val="24"/>
                <w:szCs w:val="24"/>
                <w:lang w:eastAsia="zh-CN"/>
              </w:rPr>
            </w:pPr>
            <w:r>
              <w:rPr>
                <w:rFonts w:hint="eastAsia"/>
                <w:sz w:val="24"/>
                <w:szCs w:val="24"/>
                <w:lang w:eastAsia="zh-CN"/>
              </w:rPr>
              <w:t>1.“双一流”大学建设高校的全日制师范类、医学类本科毕业生；</w:t>
            </w:r>
          </w:p>
          <w:p>
            <w:pPr>
              <w:pStyle w:val="8"/>
              <w:spacing w:line="260" w:lineRule="exact"/>
              <w:ind w:right="129" w:firstLine="480" w:firstLineChars="200"/>
              <w:rPr>
                <w:rFonts w:hint="eastAsia"/>
                <w:sz w:val="24"/>
                <w:szCs w:val="24"/>
                <w:lang w:eastAsia="zh-CN"/>
              </w:rPr>
            </w:pPr>
            <w:r>
              <w:rPr>
                <w:rFonts w:hint="eastAsia"/>
                <w:sz w:val="24"/>
                <w:szCs w:val="24"/>
                <w:lang w:eastAsia="zh-CN"/>
              </w:rPr>
              <w:t>2.“双一流”大学建设高校的全日制农业类、文化类、规划类本科毕业生。</w:t>
            </w:r>
          </w:p>
        </w:tc>
        <w:tc>
          <w:tcPr>
            <w:tcW w:w="1850" w:type="dxa"/>
            <w:vAlign w:val="center"/>
          </w:tcPr>
          <w:p>
            <w:pPr>
              <w:pStyle w:val="8"/>
              <w:numPr>
                <w:ilvl w:val="0"/>
                <w:numId w:val="2"/>
              </w:numPr>
              <w:spacing w:line="260" w:lineRule="exact"/>
              <w:rPr>
                <w:rFonts w:hint="eastAsia"/>
                <w:sz w:val="24"/>
                <w:szCs w:val="24"/>
                <w:lang w:eastAsia="zh-CN"/>
              </w:rPr>
            </w:pPr>
            <w:r>
              <w:rPr>
                <w:rFonts w:hint="eastAsia"/>
                <w:sz w:val="24"/>
                <w:szCs w:val="24"/>
                <w:lang w:eastAsia="zh-CN"/>
              </w:rPr>
              <w:t>共补助10万元，分5年进行发放；</w:t>
            </w:r>
          </w:p>
          <w:p>
            <w:pPr>
              <w:pStyle w:val="8"/>
              <w:numPr>
                <w:ilvl w:val="0"/>
                <w:numId w:val="2"/>
              </w:numPr>
              <w:spacing w:line="260" w:lineRule="exact"/>
              <w:rPr>
                <w:rFonts w:hint="eastAsia"/>
                <w:sz w:val="24"/>
                <w:lang w:eastAsia="zh-CN"/>
              </w:rPr>
            </w:pPr>
            <w:r>
              <w:rPr>
                <w:rFonts w:hint="eastAsia"/>
                <w:sz w:val="24"/>
                <w:szCs w:val="24"/>
                <w:lang w:eastAsia="zh-CN"/>
              </w:rPr>
              <w:t>引进的医学类本科毕业生用人单位还可根据实际需求额外制定补助政策，按程序最高不得超过10万元</w:t>
            </w:r>
          </w:p>
        </w:tc>
        <w:tc>
          <w:tcPr>
            <w:tcW w:w="1506" w:type="dxa"/>
            <w:vAlign w:val="center"/>
          </w:tcPr>
          <w:p>
            <w:pPr>
              <w:spacing w:line="260" w:lineRule="exact"/>
              <w:rPr>
                <w:rFonts w:hint="eastAsia" w:ascii="宋体" w:hAnsi="宋体" w:cs="宋体"/>
                <w:spacing w:val="17"/>
                <w:sz w:val="24"/>
              </w:rPr>
            </w:pPr>
            <w:r>
              <w:rPr>
                <w:rFonts w:hint="eastAsia" w:ascii="宋体" w:hAnsi="宋体" w:cs="宋体"/>
                <w:sz w:val="24"/>
              </w:rPr>
              <w:t>给予3万元购房补助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090" w:type="dxa"/>
            <w:vMerge w:val="continue"/>
            <w:vAlign w:val="center"/>
          </w:tcPr>
          <w:p>
            <w:pPr>
              <w:pStyle w:val="3"/>
              <w:jc w:val="center"/>
              <w:rPr>
                <w:rFonts w:ascii="Times New Roman" w:hAnsi="Times New Roman" w:eastAsia="方正小标宋简体" w:cs="Times New Roman"/>
                <w:spacing w:val="1"/>
                <w:sz w:val="24"/>
              </w:rPr>
            </w:pPr>
          </w:p>
        </w:tc>
        <w:tc>
          <w:tcPr>
            <w:tcW w:w="722" w:type="dxa"/>
            <w:vMerge w:val="continue"/>
            <w:vAlign w:val="center"/>
          </w:tcPr>
          <w:p>
            <w:pPr>
              <w:pStyle w:val="3"/>
              <w:jc w:val="center"/>
              <w:rPr>
                <w:rFonts w:ascii="Times New Roman" w:hAnsi="Times New Roman" w:eastAsia="方正小标宋简体" w:cs="Times New Roman"/>
                <w:spacing w:val="1"/>
                <w:sz w:val="24"/>
              </w:rPr>
            </w:pPr>
          </w:p>
        </w:tc>
        <w:tc>
          <w:tcPr>
            <w:tcW w:w="495" w:type="dxa"/>
            <w:vAlign w:val="center"/>
          </w:tcPr>
          <w:p>
            <w:pPr>
              <w:pStyle w:val="8"/>
              <w:spacing w:line="260" w:lineRule="exact"/>
              <w:jc w:val="center"/>
              <w:rPr>
                <w:rFonts w:ascii="Times New Roman" w:hAnsi="Times New Roman" w:eastAsia="方正小标宋简体" w:cs="Times New Roman"/>
                <w:spacing w:val="1"/>
                <w:sz w:val="24"/>
                <w:szCs w:val="24"/>
              </w:rPr>
            </w:pPr>
            <w:r>
              <w:rPr>
                <w:rFonts w:hint="eastAsia"/>
                <w:spacing w:val="-2"/>
                <w:sz w:val="24"/>
                <w:szCs w:val="24"/>
                <w:lang w:eastAsia="zh-CN"/>
              </w:rPr>
              <w:t>E3</w:t>
            </w:r>
          </w:p>
        </w:tc>
        <w:tc>
          <w:tcPr>
            <w:tcW w:w="3766" w:type="dxa"/>
            <w:vAlign w:val="center"/>
          </w:tcPr>
          <w:p>
            <w:pPr>
              <w:pStyle w:val="8"/>
              <w:spacing w:line="260" w:lineRule="exact"/>
              <w:ind w:firstLine="480" w:firstLineChars="200"/>
              <w:rPr>
                <w:rFonts w:hint="eastAsia"/>
                <w:sz w:val="24"/>
                <w:szCs w:val="24"/>
                <w:lang w:eastAsia="zh-CN"/>
              </w:rPr>
            </w:pPr>
            <w:r>
              <w:rPr>
                <w:rFonts w:hint="eastAsia"/>
                <w:sz w:val="24"/>
                <w:szCs w:val="24"/>
                <w:lang w:eastAsia="zh-CN"/>
              </w:rPr>
              <w:t>教育类、医卫类、文化类、农业类、规划类等急需紧缺专业可根据实际需求动态调整，学历可放宽至全日制一本院校，以引才公告为准（师范类、医学类确因特殊专业需要学历可放宽至全日制二本院校，按程序提交研究）。</w:t>
            </w:r>
          </w:p>
        </w:tc>
        <w:tc>
          <w:tcPr>
            <w:tcW w:w="1850" w:type="dxa"/>
            <w:vAlign w:val="center"/>
          </w:tcPr>
          <w:p>
            <w:pPr>
              <w:pStyle w:val="3"/>
              <w:rPr>
                <w:rFonts w:ascii="Times New Roman" w:hAnsi="Times New Roman" w:eastAsia="方正小标宋简体" w:cs="Times New Roman"/>
                <w:spacing w:val="1"/>
                <w:sz w:val="24"/>
              </w:rPr>
            </w:pPr>
            <w:r>
              <w:rPr>
                <w:rFonts w:hint="eastAsia" w:ascii="宋体" w:hAnsi="宋体" w:cs="宋体"/>
                <w:sz w:val="24"/>
              </w:rPr>
              <w:t>共补助10万元，分5年进行发放</w:t>
            </w:r>
          </w:p>
        </w:tc>
        <w:tc>
          <w:tcPr>
            <w:tcW w:w="1506" w:type="dxa"/>
            <w:vAlign w:val="center"/>
          </w:tcPr>
          <w:p>
            <w:pPr>
              <w:spacing w:line="260" w:lineRule="exact"/>
              <w:rPr>
                <w:rFonts w:hint="eastAsia" w:ascii="宋体" w:hAnsi="宋体" w:cs="宋体"/>
                <w:spacing w:val="17"/>
                <w:sz w:val="24"/>
              </w:rPr>
            </w:pPr>
            <w:r>
              <w:rPr>
                <w:rFonts w:hint="eastAsia" w:ascii="宋体" w:hAnsi="宋体" w:cs="宋体"/>
                <w:spacing w:val="17"/>
                <w:sz w:val="24"/>
              </w:rPr>
              <w:t>用人单位提供过渡性住房</w:t>
            </w:r>
          </w:p>
        </w:tc>
      </w:tr>
    </w:tbl>
    <w:p>
      <w:pPr>
        <w:pStyle w:val="3"/>
        <w:spacing w:after="0" w:line="300" w:lineRule="exact"/>
        <w:ind w:firstLine="404" w:firstLineChars="200"/>
        <w:rPr>
          <w:rFonts w:hint="eastAsia" w:ascii="宋体" w:hAnsi="宋体" w:cs="宋体"/>
          <w:spacing w:val="-1"/>
          <w:szCs w:val="21"/>
        </w:rPr>
      </w:pPr>
      <w:r>
        <w:rPr>
          <w:rFonts w:hint="eastAsia" w:ascii="宋体" w:hAnsi="宋体" w:cs="宋体"/>
          <w:spacing w:val="-4"/>
          <w:szCs w:val="21"/>
        </w:rPr>
        <w:t>注：1.关于购房补助：引进的高层次人才服务期内在县内购买首套商品住宅用房</w:t>
      </w:r>
      <w:r>
        <w:rPr>
          <w:rFonts w:hint="eastAsia" w:ascii="宋体" w:hAnsi="宋体" w:cs="宋体"/>
          <w:spacing w:val="-4"/>
          <w:szCs w:val="21"/>
          <w:lang w:eastAsia="zh-CN"/>
        </w:rPr>
        <w:t>（</w:t>
      </w:r>
      <w:r>
        <w:rPr>
          <w:rFonts w:hint="eastAsia" w:ascii="宋体" w:hAnsi="宋体" w:cs="宋体"/>
          <w:spacing w:val="-4"/>
          <w:szCs w:val="21"/>
        </w:rPr>
        <w:t>必</w:t>
      </w:r>
      <w:r>
        <w:rPr>
          <w:rFonts w:hint="eastAsia" w:ascii="宋体" w:hAnsi="宋体" w:cs="宋体"/>
          <w:spacing w:val="-1"/>
          <w:szCs w:val="21"/>
        </w:rPr>
        <w:t>须是人才本</w:t>
      </w:r>
    </w:p>
    <w:p>
      <w:pPr>
        <w:pStyle w:val="3"/>
        <w:spacing w:after="0" w:line="300" w:lineRule="exact"/>
        <w:ind w:firstLine="1008" w:firstLineChars="485"/>
        <w:rPr>
          <w:rFonts w:hint="eastAsia" w:ascii="宋体" w:hAnsi="宋体" w:cs="宋体"/>
          <w:spacing w:val="-5"/>
          <w:szCs w:val="21"/>
        </w:rPr>
      </w:pPr>
      <w:r>
        <w:rPr>
          <w:rFonts w:hint="eastAsia" w:ascii="宋体" w:hAnsi="宋体" w:cs="宋体"/>
          <w:spacing w:val="-1"/>
          <w:szCs w:val="21"/>
        </w:rPr>
        <w:t>人</w:t>
      </w:r>
      <w:r>
        <w:rPr>
          <w:rFonts w:hint="eastAsia" w:ascii="宋体" w:hAnsi="宋体" w:cs="宋体"/>
          <w:spacing w:val="-2"/>
          <w:szCs w:val="21"/>
        </w:rPr>
        <w:t>签订</w:t>
      </w:r>
      <w:r>
        <w:rPr>
          <w:rFonts w:hint="eastAsia" w:ascii="宋体" w:hAnsi="宋体" w:cs="宋体"/>
          <w:spacing w:val="5"/>
          <w:szCs w:val="21"/>
        </w:rPr>
        <w:t>的购房合同），签订购房合同后在住房保障中心</w:t>
      </w:r>
      <w:r>
        <w:rPr>
          <w:rFonts w:hint="eastAsia" w:ascii="宋体" w:hAnsi="宋体" w:cs="宋体"/>
          <w:spacing w:val="8"/>
          <w:szCs w:val="21"/>
        </w:rPr>
        <w:t>进行申</w:t>
      </w:r>
      <w:r>
        <w:rPr>
          <w:rFonts w:hint="eastAsia" w:ascii="宋体" w:hAnsi="宋体" w:cs="宋体"/>
          <w:spacing w:val="-1"/>
          <w:szCs w:val="21"/>
        </w:rPr>
        <w:t>报</w:t>
      </w:r>
      <w:r>
        <w:rPr>
          <w:rFonts w:hint="eastAsia" w:ascii="宋体" w:hAnsi="宋体" w:cs="宋体"/>
          <w:spacing w:val="-5"/>
          <w:szCs w:val="21"/>
        </w:rPr>
        <w:t>。</w:t>
      </w:r>
    </w:p>
    <w:p>
      <w:pPr>
        <w:pStyle w:val="3"/>
        <w:spacing w:after="0" w:line="300" w:lineRule="exact"/>
        <w:ind w:firstLine="798" w:firstLineChars="380"/>
        <w:rPr>
          <w:rFonts w:hint="eastAsia" w:ascii="宋体" w:hAnsi="宋体" w:cs="宋体"/>
          <w:spacing w:val="-2"/>
          <w:szCs w:val="21"/>
        </w:rPr>
      </w:pPr>
      <w:r>
        <w:rPr>
          <w:rFonts w:hint="eastAsia" w:ascii="宋体" w:hAnsi="宋体" w:cs="宋体"/>
          <w:szCs w:val="21"/>
        </w:rPr>
        <w:t>2.关于生活补助：县本级机关企事业单位引进的高</w:t>
      </w:r>
      <w:r>
        <w:rPr>
          <w:rFonts w:hint="eastAsia" w:ascii="宋体" w:hAnsi="宋体" w:cs="宋体"/>
          <w:spacing w:val="-1"/>
          <w:szCs w:val="21"/>
        </w:rPr>
        <w:t>层次、急需紧缺人才生活补助，原则上每年考核合格后，经县委人才办、县人社局审核后，</w:t>
      </w:r>
      <w:r>
        <w:rPr>
          <w:rFonts w:hint="eastAsia" w:ascii="宋体" w:hAnsi="宋体" w:cs="宋体"/>
          <w:spacing w:val="-2"/>
          <w:szCs w:val="21"/>
        </w:rPr>
        <w:t>由县人社局发放到个人。</w:t>
      </w:r>
    </w:p>
    <w:p>
      <w:pPr>
        <w:pStyle w:val="3"/>
        <w:spacing w:after="0" w:line="300" w:lineRule="exact"/>
        <w:ind w:left="420" w:leftChars="200" w:firstLine="379" w:firstLineChars="186"/>
      </w:pPr>
      <w:r>
        <w:rPr>
          <w:rFonts w:hint="eastAsia" w:ascii="宋体" w:hAnsi="宋体" w:cs="宋体"/>
          <w:spacing w:val="-3"/>
          <w:szCs w:val="21"/>
        </w:rPr>
        <w:t>3.上述分类目录，由县委人才工作领导小组适时更新调整。</w:t>
      </w:r>
    </w:p>
    <w:sectPr>
      <w:footerReference r:id="rId3"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t xml:space="preserve">— </w:t>
                          </w: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4"/>
                    </w:pPr>
                    <w:r>
                      <w:t xml:space="preserve">— </w:t>
                    </w: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2B39591F"/>
    <w:multiLevelType w:val="singleLevel"/>
    <w:tmpl w:val="2B39591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Tg3ZmQ1OTA1MWJmMjI1Yjk2ZDVjNjBlYTg1MDcifQ=="/>
    <w:docVar w:name="KSO_WPS_MARK_KEY" w:val="da726579-9416-42a3-994c-d9facdaa6c45"/>
  </w:docVars>
  <w:rsids>
    <w:rsidRoot w:val="5E5F7FEF"/>
    <w:rsid w:val="094D3C81"/>
    <w:rsid w:val="5E5F7FEF"/>
    <w:rsid w:val="695E6F83"/>
    <w:rsid w:val="7F2F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qFormat/>
    <w:uiPriority w:val="0"/>
    <w:pPr>
      <w:spacing w:after="120"/>
    </w:pPr>
  </w:style>
  <w:style w:type="paragraph" w:styleId="4">
    <w:name w:val="footer"/>
    <w:basedOn w:val="1"/>
    <w:next w:val="2"/>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qFormat/>
    <w:uiPriority w:val="0"/>
    <w:rPr>
      <w:rFonts w:ascii="宋体" w:hAnsi="宋体" w:cs="宋体"/>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3134</Words>
  <Characters>3222</Characters>
  <Lines>0</Lines>
  <Paragraphs>0</Paragraphs>
  <TotalTime>20</TotalTime>
  <ScaleCrop>false</ScaleCrop>
  <LinksUpToDate>false</LinksUpToDate>
  <CharactersWithSpaces>3245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2024-11-11T08:18:00Z</dcterms:created>
  <dc:creator>ming0</dc:creator>
  <cp:lastModifiedBy>ming0</cp:lastModifiedBy>
  <cp:lastPrinted>2024-11-15T07:09:30Z</cp:lastPrinted>
  <dcterms:modified xsi:type="dcterms:W3CDTF">2024-11-15T07:57:05Z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8787DB5CBE01425CBBDB54016C243B85</vt:lpwstr>
  </property>
</Properties>
</file>