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156" w:afterAutospacing="0" w:line="560" w:lineRule="exact"/>
        <w:jc w:val="center"/>
        <w:rPr>
          <w:rFonts w:ascii="方正小标宋_GBK" w:eastAsia="方正小标宋_GBK"/>
          <w:b w:val="0"/>
          <w:sz w:val="44"/>
          <w:szCs w:val="32"/>
        </w:rPr>
      </w:pPr>
      <w:r>
        <w:rPr>
          <w:rFonts w:hint="eastAsia" w:ascii="方正小标宋_GBK" w:eastAsia="方正小标宋_GBK"/>
          <w:b w:val="0"/>
          <w:sz w:val="44"/>
          <w:szCs w:val="32"/>
        </w:rPr>
        <w:t>忻城县公安局</w:t>
      </w:r>
    </w:p>
    <w:p>
      <w:pPr>
        <w:pStyle w:val="2"/>
        <w:shd w:val="clear" w:color="auto" w:fill="FFFFFF"/>
        <w:spacing w:before="0" w:beforeAutospacing="0" w:after="156" w:afterAutospacing="0" w:line="560" w:lineRule="exact"/>
        <w:jc w:val="center"/>
        <w:rPr>
          <w:rFonts w:ascii="方正小标宋_GBK" w:hAnsi="微软雅黑" w:eastAsia="方正小标宋_GBK"/>
          <w:b w:val="0"/>
          <w:color w:val="222222"/>
          <w:spacing w:val="6"/>
          <w:sz w:val="44"/>
          <w:szCs w:val="32"/>
        </w:rPr>
      </w:pPr>
      <w:r>
        <w:rPr>
          <w:rFonts w:hint="eastAsia" w:ascii="方正小标宋_GBK" w:eastAsia="方正小标宋_GBK"/>
          <w:b w:val="0"/>
          <w:sz w:val="44"/>
          <w:szCs w:val="32"/>
        </w:rPr>
        <w:t>202</w:t>
      </w:r>
      <w:r>
        <w:rPr>
          <w:rFonts w:hint="eastAsia" w:ascii="方正小标宋_GBK" w:eastAsia="方正小标宋_GBK"/>
          <w:b w:val="0"/>
          <w:sz w:val="44"/>
          <w:szCs w:val="32"/>
          <w:lang w:val="en-US" w:eastAsia="zh-CN"/>
        </w:rPr>
        <w:t>6</w:t>
      </w:r>
      <w:r>
        <w:rPr>
          <w:rFonts w:hint="eastAsia" w:ascii="方正小标宋_GBK" w:eastAsia="方正小标宋_GBK"/>
          <w:b w:val="0"/>
          <w:sz w:val="44"/>
          <w:szCs w:val="32"/>
        </w:rPr>
        <w:t>年</w:t>
      </w:r>
      <w:r>
        <w:rPr>
          <w:rFonts w:hint="eastAsia" w:ascii="方正小标宋_GBK" w:eastAsia="方正小标宋_GBK"/>
          <w:b w:val="0"/>
          <w:sz w:val="44"/>
          <w:szCs w:val="32"/>
          <w:lang w:eastAsia="zh-CN"/>
        </w:rPr>
        <w:t>第一次</w:t>
      </w:r>
      <w:r>
        <w:rPr>
          <w:rFonts w:hint="eastAsia" w:ascii="方正小标宋_GBK" w:hAnsi="微软雅黑" w:eastAsia="方正小标宋_GBK"/>
          <w:b w:val="0"/>
          <w:color w:val="222222"/>
          <w:spacing w:val="6"/>
          <w:sz w:val="44"/>
          <w:szCs w:val="32"/>
        </w:rPr>
        <w:t>招聘警务辅助人员公告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为进一步加强公安机关警务辅助力量建设，根据《广西壮族自治区公安机关警务辅助人员条例》《来宾市公安机关警务辅助人员管理实施细则》等文件精神及公安工作实际，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忻城县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公安局面向社会公开招聘警务辅助人员（以下简称“辅警”）。现将招聘事项公告如下：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招聘人数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</w:t>
      </w:r>
      <w:r>
        <w:rPr>
          <w:rFonts w:hint="eastAsia" w:ascii="黑体" w:hAnsi="黑体" w:eastAsia="黑体" w:cs="黑体"/>
          <w:sz w:val="32"/>
          <w:szCs w:val="32"/>
        </w:rPr>
        <w:t>岗位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本次计划招聘辅警名额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34名，具体岗位设置详见附件1：《忻城县公安局2026年第一次招聘警务辅助人员岗位设置表》。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（一）具有中华人民共和国国籍；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（二）拥护中华人民共和国宪法，遵守国家法律法规，品行端正；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（三）年龄在18周岁以上（200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日之前出生）30周岁以下（199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日之后出生），年龄计算截止时间为202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（四）应聘人员应当具有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大专（含）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以上文化程度及履行岗位职责所需的工作能力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（应聘勤务岗位的人员为退役军人的，文化程度可放宽到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高中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以上）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（五）身心健康，思想端正，无传染病和其他疾病特征，无色觉异常，无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纹</w:t>
      </w:r>
      <w:r>
        <w:rPr>
          <w:rFonts w:hint="eastAsia" w:ascii="仿宋_GB2312" w:hAnsi="仿宋_GB2312" w:eastAsia="仿宋_GB2312" w:cs="仿宋_GB2312"/>
          <w:sz w:val="32"/>
          <w:szCs w:val="32"/>
        </w:rPr>
        <w:t>身，无影响面容且难以治愈的皮肤病，无肢体功能障碍；男性身高不低于165厘米，女性身高不低于158厘米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（六）公安机关规定的其他条件；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（七）具有下列情形之一的人员，不得应聘：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1.本人或家庭成员、主要社会关系参加非法组织、邪教组织或者从事其他危害国家安全活动的；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2.本人家庭成员或主要社会关系正在服刑或正在接受调查的；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3.受过刑事处罚或者涉嫌违法犯罪尚未查清的；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4.编造、散布有损国家声誉、反对党的理论和路线方针政策、违反国家法律法规信息的；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5.因吸毒、嫖娼、赌博、盗窃、寻衅滋事等受到处罚的；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6.被行政拘留、司法拘留的；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7.被吊销律师、公证员执业证书的；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8.被开除公职、开除军籍或者因违纪违规被辞退、解聘的；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9.从事警务辅助工作合同期未满擅自离职的；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10.曾在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忻城县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公安局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（含派出机构）辅警岗位工作，且离职时间在两年之内的；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11. 被依法列为失信联合惩戒对象的，或者有其他较为严重的个人不良信用记录的；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12.在校学生（函授在读生除外）；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 其他不适宜从事警务辅助工作的情形。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同等条件下，优先招聘公安烈士和因公牺牲公安民警的配偶子女、在职公安民警配偶、退役士兵、见义勇为积极分子和先进个人、警察或政法类院校毕业生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，以及具有岗位所需专业资质或者专门技能人员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、报名及资格审查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（一）报名时间：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日止（周一至周五，上午8:00-12:00，下午15:00-18:00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国家调休及法定节假日除外）。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（二）报名方式：现场报名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（三）报名地点：忻城县公安局（城南新区新办公大楼）512室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（四）报名所需材料及要求：应聘人员须持本人居民身份证原件和复印件、户口簿原件和复印件、</w:t>
      </w:r>
      <w:r>
        <w:rPr>
          <w:rFonts w:hint="eastAsia" w:ascii="仿宋_GB2312" w:eastAsia="仿宋_GB2312"/>
          <w:sz w:val="32"/>
          <w:szCs w:val="32"/>
          <w:lang w:eastAsia="zh-CN"/>
        </w:rPr>
        <w:t>最高学历及全日制学历</w:t>
      </w:r>
      <w:r>
        <w:rPr>
          <w:rFonts w:hint="eastAsia" w:ascii="仿宋_GB2312" w:eastAsia="仿宋_GB2312"/>
          <w:sz w:val="32"/>
          <w:szCs w:val="32"/>
        </w:rPr>
        <w:t>毕业证书</w:t>
      </w:r>
      <w:r>
        <w:rPr>
          <w:rFonts w:hint="eastAsia" w:ascii="仿宋_GB2312" w:eastAsia="仿宋_GB2312"/>
          <w:sz w:val="32"/>
          <w:szCs w:val="32"/>
          <w:lang w:eastAsia="zh-CN"/>
        </w:rPr>
        <w:t>原件和复印件、学历证书电子注册备案表（登陆学信网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https://www.chsi.com.cn/在“学历查询”板块获取本人学历证书电子注册备案表，选择“在经验证报告”并申请，下载PDF格式文件</w:t>
      </w:r>
      <w:r>
        <w:rPr>
          <w:rFonts w:hint="eastAsia" w:ascii="仿宋_GB2312" w:eastAsia="仿宋_GB2312"/>
          <w:sz w:val="32"/>
          <w:szCs w:val="32"/>
          <w:lang w:eastAsia="zh-CN"/>
        </w:rPr>
        <w:t>）、</w:t>
      </w:r>
      <w:r>
        <w:rPr>
          <w:rFonts w:hint="eastAsia" w:ascii="仿宋_GB2312" w:eastAsia="仿宋_GB2312"/>
          <w:sz w:val="32"/>
          <w:szCs w:val="32"/>
        </w:rPr>
        <w:t>个人征信</w:t>
      </w:r>
      <w:r>
        <w:rPr>
          <w:rFonts w:hint="eastAsia" w:ascii="仿宋_GB2312" w:eastAsia="仿宋_GB2312"/>
          <w:sz w:val="32"/>
          <w:szCs w:val="32"/>
          <w:lang w:eastAsia="zh-CN"/>
        </w:rPr>
        <w:t>报告、</w:t>
      </w:r>
      <w:r>
        <w:rPr>
          <w:rFonts w:hint="eastAsia" w:ascii="仿宋_GB2312" w:eastAsia="仿宋_GB2312"/>
          <w:sz w:val="32"/>
          <w:szCs w:val="32"/>
        </w:rPr>
        <w:t>退役军人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的还须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提交《退伍证》原件和复印件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本人近期免冠1寸照片2张，报名同时须填写《忻城县公安局招聘辅警人员报名表》，</w:t>
      </w:r>
      <w:r>
        <w:rPr>
          <w:rFonts w:hint="eastAsia" w:ascii="仿宋_GB2312" w:eastAsia="仿宋_GB2312"/>
          <w:sz w:val="32"/>
          <w:szCs w:val="32"/>
        </w:rPr>
        <w:t>报名材料实行现场审核。报名人员所提交的材料必须真实、有效，对于弄虚作假的应聘人员一经查实将取消其应聘资格，并作为不诚信依据记录在案。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笔试、体能测试、面试、考核政审、体检等环节严格按照相关规定依次进行。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1.参加笔试的人员：报名资格审查合格的应聘人员。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2.笔试方式：闭卷。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3.笔试时间、地点：另行通知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（在忻城公安微信公众号同步发布）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4.笔试范围：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时事政治、基础法律知识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与辅警有关的权益及依法协助人民警察履职的有关法律知识。成绩满分为100分。（注：本次招聘笔试不委托任何机构印制辅助材料及相关培训）。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（二）体能测试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1.参加体能测试的人员：参加笔试的全体应聘人员。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2.体能测试时间、地点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另行通知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（在忻城公安微信公众号同步发布）</w:t>
      </w:r>
      <w:r>
        <w:rPr>
          <w:rFonts w:hint="eastAsia" w:ascii="仿宋_GB2312" w:eastAsia="仿宋_GB2312"/>
          <w:color w:val="FF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3.体能测试项目和标准：</w:t>
      </w:r>
      <w:r>
        <w:rPr>
          <w:rFonts w:hint="eastAsia" w:ascii="仿宋_GB2312" w:eastAsia="仿宋_GB2312"/>
          <w:color w:val="FF0000"/>
          <w:sz w:val="32"/>
          <w:szCs w:val="32"/>
        </w:rPr>
        <w:t>参照《关于印发公安机关录用人民警察测评项目和标准（暂行）的通知》（人社部发[2011]48号）的标准进行。</w:t>
      </w:r>
      <w:r>
        <w:rPr>
          <w:rFonts w:hint="eastAsia" w:ascii="仿宋_GB2312" w:eastAsia="仿宋_GB2312"/>
          <w:sz w:val="32"/>
          <w:szCs w:val="32"/>
        </w:rPr>
        <w:t>具体如下：</w:t>
      </w:r>
    </w:p>
    <w:tbl>
      <w:tblPr>
        <w:tblStyle w:val="7"/>
        <w:tblW w:w="9389" w:type="dxa"/>
        <w:tblInd w:w="0" w:type="dxa"/>
        <w:shd w:val="clear" w:color="auto" w:fill="F4F8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6"/>
        <w:gridCol w:w="3641"/>
        <w:gridCol w:w="5"/>
        <w:gridCol w:w="3407"/>
      </w:tblGrid>
      <w:tr>
        <w:tblPrEx>
          <w:shd w:val="clear" w:color="auto" w:fill="F4F8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2336" w:type="dxa"/>
            <w:vMerge w:val="restart"/>
            <w:tcBorders>
              <w:top w:val="single" w:color="C0504D" w:sz="4" w:space="0"/>
              <w:left w:val="single" w:color="C0504D" w:sz="4" w:space="0"/>
              <w:right w:val="single" w:color="C0504D" w:sz="4" w:space="0"/>
            </w:tcBorders>
            <w:shd w:val="clear" w:color="auto" w:fill="F4F8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</w:t>
            </w:r>
          </w:p>
        </w:tc>
        <w:tc>
          <w:tcPr>
            <w:tcW w:w="3646" w:type="dxa"/>
            <w:gridSpan w:val="2"/>
            <w:tcBorders>
              <w:top w:val="single" w:color="C0504D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4F8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男子组</w:t>
            </w:r>
            <w:r>
              <w:rPr>
                <w:rFonts w:hint="eastAsia" w:ascii="仿宋_GB2312" w:eastAsia="仿宋_GB2312"/>
                <w:sz w:val="32"/>
                <w:szCs w:val="32"/>
              </w:rPr>
              <w:t>标准</w:t>
            </w:r>
          </w:p>
        </w:tc>
        <w:tc>
          <w:tcPr>
            <w:tcW w:w="3407" w:type="dxa"/>
            <w:tcBorders>
              <w:top w:val="single" w:color="C0504D" w:sz="4" w:space="0"/>
              <w:left w:val="single" w:color="auto" w:sz="4" w:space="0"/>
              <w:bottom w:val="single" w:color="C0504D" w:sz="4" w:space="0"/>
              <w:right w:val="single" w:color="C0504D" w:sz="4" w:space="0"/>
            </w:tcBorders>
            <w:shd w:val="clear" w:color="auto" w:fill="F4F8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女子组</w:t>
            </w:r>
            <w:r>
              <w:rPr>
                <w:rFonts w:hint="eastAsia" w:ascii="仿宋_GB2312" w:eastAsia="仿宋_GB2312"/>
                <w:sz w:val="32"/>
                <w:szCs w:val="32"/>
              </w:rPr>
              <w:t>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36" w:type="dxa"/>
            <w:vMerge w:val="continue"/>
            <w:tcBorders>
              <w:left w:val="single" w:color="C0504D" w:sz="4" w:space="0"/>
              <w:bottom w:val="nil"/>
              <w:right w:val="single" w:color="C0504D" w:sz="4" w:space="0"/>
            </w:tcBorders>
            <w:shd w:val="clear" w:color="auto" w:fill="F4F8FF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4F8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30岁（含）以下</w:t>
            </w:r>
          </w:p>
        </w:tc>
        <w:tc>
          <w:tcPr>
            <w:tcW w:w="3412" w:type="dxa"/>
            <w:gridSpan w:val="2"/>
            <w:tcBorders>
              <w:top w:val="nil"/>
              <w:left w:val="single" w:color="auto" w:sz="4" w:space="0"/>
              <w:bottom w:val="nil"/>
              <w:right w:val="single" w:color="C0504D" w:sz="4" w:space="0"/>
            </w:tcBorders>
            <w:shd w:val="clear" w:color="auto" w:fill="F4F8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30岁（含）以下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36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F4F8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10米×4往返跑</w:t>
            </w:r>
          </w:p>
        </w:tc>
        <w:tc>
          <w:tcPr>
            <w:tcW w:w="3641" w:type="dxa"/>
            <w:tcBorders>
              <w:top w:val="single" w:color="C0504D" w:sz="4" w:space="0"/>
              <w:left w:val="nil"/>
              <w:bottom w:val="single" w:color="C0504D" w:sz="4" w:space="0"/>
              <w:right w:val="nil"/>
            </w:tcBorders>
            <w:shd w:val="clear" w:color="auto" w:fill="F4F8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≤13″1</w:t>
            </w:r>
          </w:p>
        </w:tc>
        <w:tc>
          <w:tcPr>
            <w:tcW w:w="3412" w:type="dxa"/>
            <w:gridSpan w:val="2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F4F8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≤14″1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336" w:type="dxa"/>
            <w:tcBorders>
              <w:top w:val="nil"/>
              <w:left w:val="single" w:color="C0504D" w:sz="4" w:space="0"/>
              <w:bottom w:val="nil"/>
              <w:right w:val="single" w:color="C0504D" w:sz="4" w:space="0"/>
            </w:tcBorders>
            <w:shd w:val="clear" w:color="auto" w:fill="F4F8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男子</w:t>
            </w:r>
            <w:r>
              <w:rPr>
                <w:rFonts w:hint="eastAsia" w:ascii="仿宋_GB2312" w:eastAsia="仿宋_GB2312"/>
                <w:sz w:val="32"/>
                <w:szCs w:val="32"/>
              </w:rPr>
              <w:t>1000米跑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/女子800米跑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4F8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≤4′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5″</w:t>
            </w:r>
          </w:p>
        </w:tc>
        <w:tc>
          <w:tcPr>
            <w:tcW w:w="3412" w:type="dxa"/>
            <w:gridSpan w:val="2"/>
            <w:tcBorders>
              <w:top w:val="nil"/>
              <w:left w:val="single" w:color="auto" w:sz="4" w:space="0"/>
              <w:bottom w:val="nil"/>
              <w:right w:val="single" w:color="C0504D" w:sz="4" w:space="0"/>
            </w:tcBorders>
            <w:shd w:val="clear" w:color="auto" w:fill="F4F8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≤4′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0″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336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F4F8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纵跳摸高</w:t>
            </w:r>
          </w:p>
        </w:tc>
        <w:tc>
          <w:tcPr>
            <w:tcW w:w="3646" w:type="dxa"/>
            <w:gridSpan w:val="2"/>
            <w:tcBorders>
              <w:top w:val="single" w:color="C0504D" w:sz="4" w:space="0"/>
              <w:left w:val="nil"/>
              <w:bottom w:val="single" w:color="C0504D" w:sz="4" w:space="0"/>
              <w:right w:val="single" w:color="auto" w:sz="4" w:space="0"/>
            </w:tcBorders>
            <w:shd w:val="clear" w:color="auto" w:fill="F4F8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≥265厘米</w:t>
            </w:r>
          </w:p>
        </w:tc>
        <w:tc>
          <w:tcPr>
            <w:tcW w:w="3407" w:type="dxa"/>
            <w:tcBorders>
              <w:top w:val="single" w:color="C0504D" w:sz="4" w:space="0"/>
              <w:left w:val="single" w:color="auto" w:sz="4" w:space="0"/>
              <w:bottom w:val="single" w:color="C0504D" w:sz="4" w:space="0"/>
              <w:right w:val="single" w:color="C0504D" w:sz="4" w:space="0"/>
            </w:tcBorders>
            <w:shd w:val="clear" w:color="auto" w:fill="F4F8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≥230厘米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体能测试项目中，纵跳摸高的测试次数不超过3次，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10米×4往返跑测评次数为2次，1000米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/800米跑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的测评次数为1次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体能测试三项全部达标的方为合格。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1.确定面试人选。根据笔试总体情况在体能测试考核合格的考生中，按聘用职位1:3的比例从高分到低分确定进入面试人员。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2.面试方式。面试采用结构化面试方式进行。主要测试相关工作知识、临场应变、综合分析、举止仪态、语言表达能力，测试了解应聘者履行岗位职责所具备的素质与能力。成绩满分为100分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60分以上为合格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3.面试时间、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地点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另行通知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（在忻城公安微信公众号同步发布）</w:t>
      </w:r>
      <w:r>
        <w:rPr>
          <w:rFonts w:hint="eastAsia" w:ascii="仿宋_GB2312" w:eastAsia="仿宋_GB2312"/>
          <w:color w:val="FF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）政审考察和体检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1.确定考察人选。根据</w:t>
      </w:r>
      <w:r>
        <w:rPr>
          <w:rFonts w:hint="eastAsia" w:ascii="仿宋_GB2312" w:eastAsia="仿宋_GB2312"/>
          <w:color w:val="FF0000"/>
          <w:sz w:val="32"/>
          <w:szCs w:val="32"/>
        </w:rPr>
        <w:t>笔试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成绩</w:t>
      </w:r>
      <w:r>
        <w:rPr>
          <w:rFonts w:hint="eastAsia" w:ascii="仿宋_GB2312" w:eastAsia="仿宋_GB2312"/>
          <w:color w:val="FF0000"/>
          <w:sz w:val="32"/>
          <w:szCs w:val="32"/>
        </w:rPr>
        <w:t>与面试成绩之和</w:t>
      </w:r>
      <w:r>
        <w:rPr>
          <w:rFonts w:hint="eastAsia" w:ascii="仿宋_GB2312" w:eastAsia="仿宋_GB2312"/>
          <w:sz w:val="32"/>
          <w:szCs w:val="32"/>
        </w:rPr>
        <w:t>从高分到低分按招聘人数1：1的比例确定，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如遇考察不合格将依次递补下一名。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2.考察。政审考察由忻城县公安局负责。主要通过查阅报考者个人档案、提交证明材料和走访等方式进行，了解报考者政治思想、道德品质、遵纪守法、廉洁自律、职位匹配等表现情况。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体检。考核合格人员由聘用单位组织拟聘人员到指定医疗机构进行体检。体检费由考生自理。体检标准除本公告明确提出的要求外，其它项目体检标准文职岗位参照《公务员录用体检通用标准(试行)》执行，勤务岗位参照《公务员录用体检特殊标准(试行)》执行</w:t>
      </w:r>
      <w:r>
        <w:rPr>
          <w:rFonts w:hint="eastAsia" w:ascii="仿宋_GB2312" w:eastAsia="仿宋_GB2312"/>
          <w:sz w:val="32"/>
          <w:szCs w:val="32"/>
          <w:lang w:eastAsia="zh-CN"/>
        </w:rPr>
        <w:t>（考生可自行查阅相关标准进行对照）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FF0000"/>
          <w:sz w:val="32"/>
          <w:szCs w:val="32"/>
        </w:rPr>
        <w:t>因体检不合格造成缺额的，按照笔试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成绩</w:t>
      </w:r>
      <w:r>
        <w:rPr>
          <w:rFonts w:hint="eastAsia" w:ascii="仿宋_GB2312" w:eastAsia="仿宋_GB2312"/>
          <w:color w:val="FF0000"/>
          <w:sz w:val="32"/>
          <w:szCs w:val="32"/>
        </w:rPr>
        <w:t>与面试成绩之和从高分到低分的顺序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经考察合格后</w:t>
      </w:r>
      <w:r>
        <w:rPr>
          <w:rFonts w:hint="eastAsia" w:ascii="仿宋_GB2312" w:eastAsia="仿宋_GB2312"/>
          <w:color w:val="FF0000"/>
          <w:sz w:val="32"/>
          <w:szCs w:val="32"/>
        </w:rPr>
        <w:t>进行递补。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）确定拟聘用人员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对经笔试、体能测试、面试、政审考察、体检均合格的应聘人员，经局党委会讨论后确定拟聘用人员名单。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）公示、审批、聘用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在忻城县公安局微信公众号“忻城公安”对拟聘用人员名单进行公示，公示期为5个工作日。经公示无反映或反映问题经查证不属实的，由忻城县公安局组织开展岗前培训。培训合格后，按照《中华人民共和国劳动法》《中华人民共和国劳动</w:t>
      </w:r>
      <w:r>
        <w:rPr>
          <w:rFonts w:hint="eastAsia" w:ascii="仿宋_GB2312" w:eastAsia="仿宋_GB2312"/>
          <w:sz w:val="32"/>
          <w:szCs w:val="32"/>
          <w:lang w:eastAsia="zh-CN"/>
        </w:rPr>
        <w:t>合同</w:t>
      </w:r>
      <w:r>
        <w:rPr>
          <w:rFonts w:hint="eastAsia" w:ascii="仿宋_GB2312" w:eastAsia="仿宋_GB2312"/>
          <w:sz w:val="32"/>
          <w:szCs w:val="32"/>
        </w:rPr>
        <w:t>法》与聘用人员签订劳动合同（含试用期），首次合同期为1年，试用期为2个月。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被聘用人员试用期满，经用人单位考核合格，由县公安局和被聘用人员履行劳动合同，考核不合格的解除劳动合同。合同期内，被聘用人员如有违反合同约定，违法违规违纪或不履行工作职责，以及其他原因不适应工作的，按照有关规定解聘。合同期满视工作需要和考核结果决定是否续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3.被聘用人员须无条件服从工作安排。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、工资待遇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（一)</w:t>
      </w:r>
      <w:r>
        <w:rPr>
          <w:rFonts w:hint="eastAsia" w:ascii="仿宋_GB2312" w:eastAsia="仿宋_GB2312"/>
          <w:sz w:val="32"/>
          <w:szCs w:val="32"/>
          <w:lang w:eastAsia="zh-CN"/>
        </w:rPr>
        <w:t>按现行辅警待遇标准执行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）其他福利待遇：享受</w:t>
      </w:r>
      <w:r>
        <w:rPr>
          <w:rFonts w:hint="eastAsia" w:ascii="仿宋_GB2312" w:eastAsia="仿宋_GB2312"/>
          <w:sz w:val="32"/>
          <w:szCs w:val="32"/>
          <w:lang w:eastAsia="zh-CN"/>
        </w:rPr>
        <w:t>层级化工资待遇、</w:t>
      </w:r>
      <w:r>
        <w:rPr>
          <w:rFonts w:hint="eastAsia" w:ascii="仿宋_GB2312" w:eastAsia="仿宋_GB2312"/>
          <w:sz w:val="32"/>
          <w:szCs w:val="32"/>
        </w:rPr>
        <w:t>加班补贴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、绩效奖励、年度健康体检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（工作满一年以上）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、带薪年休假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（工作满一年以上）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购买</w:t>
      </w:r>
      <w:r>
        <w:rPr>
          <w:rFonts w:hint="eastAsia" w:ascii="仿宋_GB2312" w:hAnsi="仿宋_GB2312" w:eastAsia="仿宋_GB2312" w:cs="仿宋_GB2312"/>
          <w:sz w:val="32"/>
          <w:szCs w:val="32"/>
        </w:rPr>
        <w:t>人身意外伤害保险、工会会员等待遇。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00" w:firstLineChars="25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、其它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（一）报考人员在报考期间应保持24小时通讯畅通，如填报的通讯方式变更，应及时报告招聘单位。凡因报考人员个人原因，错过重要信息而影响考试聘用的，后果由报考人员自行承担。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（二）本次考试不举办、也不委托任何机构举办考试辅导培训班，不指定任何参考用书和资料。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（三）已通过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机关组织的警务辅助人员招聘各项环节，非因不可抗拒原因，放弃受聘资格的或聘用后未按要求到岗的，不得再次报考。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（四）本公告未尽事宜，由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忻城县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公安局负责解释。招聘咨询电话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0772-5520117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监督电话：0772-5513869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忻城县公安局2026年第一次招聘警务辅助人员岗位设置表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忻城县公安局招聘辅警报名表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忻城县公安局</w:t>
      </w: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YWQwMjA4NzEwM2Q2MWZmODRmZjJiODBhMjJkYWYifQ=="/>
  </w:docVars>
  <w:rsids>
    <w:rsidRoot w:val="00EC35F8"/>
    <w:rsid w:val="00002CF1"/>
    <w:rsid w:val="000A7A04"/>
    <w:rsid w:val="000D465E"/>
    <w:rsid w:val="000E6783"/>
    <w:rsid w:val="00152901"/>
    <w:rsid w:val="001A1948"/>
    <w:rsid w:val="001F6205"/>
    <w:rsid w:val="00274DD0"/>
    <w:rsid w:val="002A6605"/>
    <w:rsid w:val="002B090A"/>
    <w:rsid w:val="002B3004"/>
    <w:rsid w:val="002C03F8"/>
    <w:rsid w:val="002D2D2F"/>
    <w:rsid w:val="00306DCF"/>
    <w:rsid w:val="00324ADE"/>
    <w:rsid w:val="00326D18"/>
    <w:rsid w:val="00443B91"/>
    <w:rsid w:val="00470268"/>
    <w:rsid w:val="004E32EF"/>
    <w:rsid w:val="0053415B"/>
    <w:rsid w:val="00581502"/>
    <w:rsid w:val="00584EEF"/>
    <w:rsid w:val="00587A74"/>
    <w:rsid w:val="005E4736"/>
    <w:rsid w:val="006C1911"/>
    <w:rsid w:val="0071277E"/>
    <w:rsid w:val="00741ABD"/>
    <w:rsid w:val="00963121"/>
    <w:rsid w:val="0096478F"/>
    <w:rsid w:val="00980893"/>
    <w:rsid w:val="009A0265"/>
    <w:rsid w:val="009C3D13"/>
    <w:rsid w:val="00A02000"/>
    <w:rsid w:val="00AB25EC"/>
    <w:rsid w:val="00B00D9B"/>
    <w:rsid w:val="00BD6A6B"/>
    <w:rsid w:val="00C1747A"/>
    <w:rsid w:val="00C43F31"/>
    <w:rsid w:val="00D24AC5"/>
    <w:rsid w:val="00D31C56"/>
    <w:rsid w:val="00E11C92"/>
    <w:rsid w:val="00EC35F8"/>
    <w:rsid w:val="00EE3F7D"/>
    <w:rsid w:val="00EF0685"/>
    <w:rsid w:val="00F71DA0"/>
    <w:rsid w:val="00FA35DC"/>
    <w:rsid w:val="00FB4226"/>
    <w:rsid w:val="00FC2B74"/>
    <w:rsid w:val="02385327"/>
    <w:rsid w:val="02543D48"/>
    <w:rsid w:val="02FB76BD"/>
    <w:rsid w:val="03B629A7"/>
    <w:rsid w:val="054B61AC"/>
    <w:rsid w:val="07D478A0"/>
    <w:rsid w:val="09CA4A66"/>
    <w:rsid w:val="09E71EE1"/>
    <w:rsid w:val="0A500EDA"/>
    <w:rsid w:val="0E4312DC"/>
    <w:rsid w:val="0FA84423"/>
    <w:rsid w:val="12583C71"/>
    <w:rsid w:val="14751937"/>
    <w:rsid w:val="15BE5F98"/>
    <w:rsid w:val="18B51028"/>
    <w:rsid w:val="1D472EA9"/>
    <w:rsid w:val="23D94A10"/>
    <w:rsid w:val="23DE487A"/>
    <w:rsid w:val="253A419F"/>
    <w:rsid w:val="26190E10"/>
    <w:rsid w:val="26435A80"/>
    <w:rsid w:val="28782B81"/>
    <w:rsid w:val="288C4165"/>
    <w:rsid w:val="2A6E3111"/>
    <w:rsid w:val="2BD27300"/>
    <w:rsid w:val="2C7F0CFB"/>
    <w:rsid w:val="313C669D"/>
    <w:rsid w:val="317223B5"/>
    <w:rsid w:val="33631954"/>
    <w:rsid w:val="363C46EB"/>
    <w:rsid w:val="379D51AB"/>
    <w:rsid w:val="384E7DCB"/>
    <w:rsid w:val="3A82330C"/>
    <w:rsid w:val="3AFA578E"/>
    <w:rsid w:val="3B307AF8"/>
    <w:rsid w:val="3BDA5BC2"/>
    <w:rsid w:val="3C5915F2"/>
    <w:rsid w:val="3F171257"/>
    <w:rsid w:val="3F964E60"/>
    <w:rsid w:val="412436DB"/>
    <w:rsid w:val="459E7595"/>
    <w:rsid w:val="464C44CA"/>
    <w:rsid w:val="47204D9B"/>
    <w:rsid w:val="4B0A17A7"/>
    <w:rsid w:val="4BA56A30"/>
    <w:rsid w:val="4BF64909"/>
    <w:rsid w:val="4C6B7A27"/>
    <w:rsid w:val="51A63180"/>
    <w:rsid w:val="52067543"/>
    <w:rsid w:val="55452C9B"/>
    <w:rsid w:val="59FE2C51"/>
    <w:rsid w:val="5BD80C3B"/>
    <w:rsid w:val="5E76347E"/>
    <w:rsid w:val="5ECE0047"/>
    <w:rsid w:val="5EEF006D"/>
    <w:rsid w:val="5F5B51B8"/>
    <w:rsid w:val="66665D5A"/>
    <w:rsid w:val="6A185388"/>
    <w:rsid w:val="6A9251EC"/>
    <w:rsid w:val="6DEC51ED"/>
    <w:rsid w:val="6F2A6AFF"/>
    <w:rsid w:val="6F481423"/>
    <w:rsid w:val="70027824"/>
    <w:rsid w:val="71121CE9"/>
    <w:rsid w:val="71E56995"/>
    <w:rsid w:val="72E5391C"/>
    <w:rsid w:val="7456449F"/>
    <w:rsid w:val="75E8243A"/>
    <w:rsid w:val="76100C6E"/>
    <w:rsid w:val="784623B2"/>
    <w:rsid w:val="79D82F40"/>
    <w:rsid w:val="7A5F62BD"/>
    <w:rsid w:val="7BF957A2"/>
    <w:rsid w:val="7D942D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105965-25CF-4057-83B9-DA429E793A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478</Words>
  <Characters>2727</Characters>
  <Lines>22</Lines>
  <Paragraphs>6</Paragraphs>
  <TotalTime>49</TotalTime>
  <ScaleCrop>false</ScaleCrop>
  <LinksUpToDate>false</LinksUpToDate>
  <CharactersWithSpaces>3199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2023-09-20T07:20:00Z</dcterms:created>
  <dc:creator>user</dc:creator>
  <cp:lastModifiedBy>忻城县党政机关</cp:lastModifiedBy>
  <cp:lastPrinted>2025-09-12T09:05:00Z</cp:lastPrinted>
  <dcterms:modified xsi:type="dcterms:W3CDTF">2026-03-26T02:11:01Z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1E6620CF135F471693A5A8DC2D508043</vt:lpwstr>
  </property>
</Properties>
</file>