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成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  <w:t>都市规划和自然资源局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  <w:t>关于所属事业单位2026年上半年公开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考试招聘工作人员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  <w:t>专业科目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eastAsia="zh-CN"/>
        </w:rPr>
        <w:t>笔试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  <w:t>考试大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eastAsia="zh-CN"/>
        </w:rPr>
        <w:t>纲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kern w:val="0"/>
          <w:sz w:val="36"/>
          <w:szCs w:val="36"/>
        </w:rPr>
        <w:t>《</w:t>
      </w:r>
      <w:r>
        <w:rPr>
          <w:rFonts w:hint="eastAsia" w:ascii="Times New Roman" w:hAnsi="Times New Roman" w:eastAsia="方正小标宋_GBK" w:cs="方正小标宋_GBK"/>
          <w:kern w:val="0"/>
          <w:sz w:val="36"/>
          <w:szCs w:val="36"/>
          <w:lang w:val="en-US" w:eastAsia="zh-CN"/>
        </w:rPr>
        <w:t>系统开发与管理》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highlight w:val="none"/>
        </w:rPr>
        <w:t>《系统开发与管理</w:t>
      </w:r>
      <w:r>
        <w:rPr>
          <w:rFonts w:hint="eastAsia" w:ascii="Times New Roman" w:hAnsi="Times New Roman" w:eastAsia="方正仿宋_GBK" w:cs="方正仿宋_GBK"/>
          <w:spacing w:val="2"/>
          <w:sz w:val="32"/>
          <w:szCs w:val="32"/>
        </w:rPr>
        <w:t>》考试总分100</w:t>
      </w:r>
      <w:r>
        <w:rPr>
          <w:rFonts w:hint="eastAsia" w:ascii="Times New Roman" w:hAnsi="Times New Roman" w:eastAsia="方正仿宋_GBK" w:cs="方正仿宋_GBK"/>
          <w:spacing w:val="1"/>
          <w:sz w:val="32"/>
          <w:szCs w:val="32"/>
        </w:rPr>
        <w:t>分，</w:t>
      </w:r>
      <w:r>
        <w:rPr>
          <w:rFonts w:hint="eastAsia" w:ascii="Times New Roman" w:hAnsi="Times New Roman" w:eastAsia="方正仿宋_GBK" w:cs="方正仿宋_GBK"/>
          <w:spacing w:val="8"/>
          <w:sz w:val="32"/>
          <w:szCs w:val="32"/>
        </w:rPr>
        <w:t>考试时间90分钟，采取闭卷考试方式，全部为客观试题。题型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</w:rPr>
        <w:t>为单项选择题、多项选择题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lang w:val="en-US" w:eastAsia="zh-CN"/>
        </w:rPr>
        <w:t>不定向选择题、判断题四种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</w:rPr>
        <w:t>。考试内容主要包括：</w:t>
      </w:r>
      <w:r>
        <w:rPr>
          <w:rFonts w:hint="eastAsia" w:ascii="Times New Roman" w:hAnsi="Times New Roman" w:eastAsia="方正仿宋_GBK" w:cs="方正仿宋_GBK"/>
          <w:spacing w:val="6"/>
          <w:sz w:val="32"/>
          <w:szCs w:val="32"/>
          <w:lang w:val="en-US" w:eastAsia="zh-CN"/>
        </w:rPr>
        <w:t>软件开发基础知识</w:t>
      </w:r>
      <w:r>
        <w:rPr>
          <w:rFonts w:hint="eastAsia" w:ascii="Times New Roman" w:hAnsi="Times New Roman" w:eastAsia="方正仿宋_GBK" w:cs="方正仿宋_GBK"/>
          <w:spacing w:val="8"/>
          <w:sz w:val="32"/>
          <w:szCs w:val="32"/>
        </w:rPr>
        <w:t>、</w:t>
      </w:r>
      <w:r>
        <w:rPr>
          <w:rFonts w:hint="eastAsia" w:ascii="Times New Roman" w:hAnsi="Times New Roman" w:eastAsia="方正仿宋_GBK" w:cs="方正仿宋_GBK"/>
          <w:spacing w:val="8"/>
          <w:sz w:val="32"/>
          <w:szCs w:val="32"/>
          <w:lang w:val="en-US" w:eastAsia="zh-CN"/>
        </w:rPr>
        <w:t>软件管理基础知识</w:t>
      </w:r>
      <w:r>
        <w:rPr>
          <w:rFonts w:hint="eastAsia" w:ascii="Times New Roman" w:hAnsi="Times New Roman" w:eastAsia="方正仿宋_GBK" w:cs="方正仿宋_GBK"/>
          <w:spacing w:val="8"/>
          <w:sz w:val="32"/>
          <w:szCs w:val="32"/>
        </w:rPr>
        <w:t>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34" w:firstLineChars="200"/>
        <w:jc w:val="both"/>
        <w:textAlignment w:val="baseline"/>
        <w:outlineLvl w:val="9"/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</w:rPr>
        <w:t>、</w:t>
      </w:r>
      <w:r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  <w:t>软件开发基础知识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（1）计算机基础知识。计算机硬件体系结构，CPU、内存、存储等核心组件的工作原理；主流操作系统的进程管理、内存管理、文件系统及并发控制机制等</w:t>
      </w:r>
      <w:r>
        <w:rPr>
          <w:rFonts w:hint="eastAsia" w:ascii="Times New Roman" w:hAnsi="Times New Roman" w:eastAsia="方正仿宋_GBK" w:cs="方正仿宋_GBK"/>
          <w:spacing w:val="2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（2）数据结构与算法。常用数据结构，如数组、链表、栈和队列、树、图、集合、Hash等；常用算法，如排序算法、查找算法、数值计算、字符串处理、数据压缩算法、递归算法等。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（3）数据库与地理信息系统。</w:t>
      </w:r>
      <w:r>
        <w:rPr>
          <w:rFonts w:hint="eastAsia" w:ascii="Times New Roman" w:hAnsi="Times New Roman" w:eastAsia="方正仿宋_GBK" w:cs="方正仿宋_GBK"/>
          <w:spacing w:val="2"/>
          <w:sz w:val="32"/>
          <w:szCs w:val="32"/>
        </w:rPr>
        <w:t>数据库、数据库技术、数据库系统、数据库管理系统的概念，数据库模型与数据视图；结构化查询语言</w:t>
      </w: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pacing w:val="2"/>
          <w:sz w:val="32"/>
          <w:szCs w:val="32"/>
        </w:rPr>
        <w:t>SQL</w:t>
      </w: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pacing w:val="2"/>
          <w:sz w:val="32"/>
          <w:szCs w:val="32"/>
        </w:rPr>
        <w:t>的基础知识、用法和常用SQL指令；数据库的事务管理、并发控制、故障恢复、数据备份与恢复的常用方法；数据库应用开发工具，常见大型数据库系统产品的名称、特点</w:t>
      </w: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方正仿宋_GBK"/>
          <w:spacing w:val="2"/>
          <w:sz w:val="32"/>
          <w:szCs w:val="32"/>
        </w:rPr>
        <w:t>空间数据的定义、类型和特点，矢量数据、栅格数据的区别和主要用途；空间分析的概念、原理、流程、方法及在规划和自然资源管理中的典型应用。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（4）软件开发技术。编程语言与核心框架、Web开发技术、移动开发技术、前后端分离与接口开发技术、微服务与分布式架构、中间件与核心组件等。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（5）网络与信息安全。TCP/IP、HTTP/HTTPS等网络协议，网络延迟与异常分析、常见漏洞的原理与防御措施、身份认证与访问控制、数据安全与加密技术、网络安全防护与监控等技术。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34" w:firstLineChars="200"/>
        <w:jc w:val="both"/>
        <w:textAlignment w:val="baseline"/>
        <w:outlineLvl w:val="9"/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  <w:t>二、软件管理基础知识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（1）信息系统基础知识。软件工程基本概念、软件需求分析、软件设计、软件测试、软件维护；</w:t>
      </w:r>
      <w:r>
        <w:rPr>
          <w:rFonts w:hint="eastAsia" w:ascii="Times New Roman" w:hAnsi="Times New Roman" w:eastAsia="方正仿宋_GBK" w:cs="方正仿宋_GBK"/>
          <w:spacing w:val="2"/>
          <w:sz w:val="32"/>
          <w:szCs w:val="32"/>
        </w:rPr>
        <w:t>信息系统开发方法和信息系统规划</w:t>
      </w: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pacing w:val="2"/>
          <w:sz w:val="32"/>
          <w:szCs w:val="32"/>
        </w:rPr>
        <w:t>信息系统项目的概念、特点</w:t>
      </w: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pacing w:val="2"/>
          <w:sz w:val="32"/>
          <w:szCs w:val="32"/>
        </w:rPr>
        <w:t>信息系统项目的生命周期、特点和典型模型</w:t>
      </w: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（2）信息系统项目管理。项目的立项、整体、范围管理、进度、成本、质量、人力资源、沟通和干系人、风险、采购、合同、信息文档管理与配置管理；项目流程、变更、测试、量化管理与项目管理成熟度模型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黑体" w:cs="Times New Roman"/>
          <w:b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kern w:val="0"/>
          <w:sz w:val="36"/>
          <w:szCs w:val="36"/>
          <w:lang w:val="en-US" w:eastAsia="zh-CN"/>
        </w:rPr>
        <w:t>《自然资源管理综合》</w:t>
      </w:r>
    </w:p>
    <w:p>
      <w:pPr>
        <w:pStyle w:val="2"/>
        <w:rPr>
          <w:rFonts w:hint="eastAsia" w:ascii="Times New Roman" w:hAnsi="Times New Roman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《自然资源管理综合》</w:t>
      </w: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考试总分</w:t>
      </w:r>
      <w:r>
        <w:rPr>
          <w:rFonts w:hint="default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分，考试时间</w:t>
      </w:r>
      <w:r>
        <w:rPr>
          <w:rFonts w:hint="default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90</w:t>
      </w: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分钟，采取闭卷考试方式，全部为客观试题。题型为单项选择题、多项选择题、不定项选择题、判断题四种。考试内容主要包括：自然资源调查监测、国土空间用途管制、耕地保护、生态保护修复、土地综合整治、自然资源开发利用、自然资源资产管理、自然资源信息化、土地征收、土地储备、临时用地和设施农用地管理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34" w:firstLineChars="200"/>
        <w:jc w:val="both"/>
        <w:textAlignment w:val="baseline"/>
        <w:outlineLvl w:val="9"/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  <w:t>一、自然资源调查监测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包括但不限于自然资源国土调查、国土变更调查、专项调查、动态监测和分析评价等内容。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34" w:firstLineChars="200"/>
        <w:jc w:val="both"/>
        <w:textAlignment w:val="baseline"/>
        <w:outlineLvl w:val="9"/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  <w:t>二、国土空间用途管制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包括但不限于国土空间用途管制有关规则、土地利用年度计划、土地用途转用等内容。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34" w:firstLineChars="200"/>
        <w:jc w:val="both"/>
        <w:textAlignment w:val="baseline"/>
        <w:outlineLvl w:val="9"/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  <w:t>三、耕地保护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包括但不限于耕地保护体系、永久基本农田特殊保护、耕地占补平衡、耕地质量保护与提升和耕地执法监督与考核问责等内容。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34" w:firstLineChars="200"/>
        <w:jc w:val="both"/>
        <w:textAlignment w:val="baseline"/>
        <w:outlineLvl w:val="9"/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  <w:t>四、生态保护修复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包括但不限于国土空间生态修复体系、土地复垦、废弃矿山地质环境恢复整治等内容。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34" w:firstLineChars="200"/>
        <w:jc w:val="both"/>
        <w:textAlignment w:val="baseline"/>
        <w:outlineLvl w:val="9"/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  <w:t>五、土地综合整治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包括但不限于全域土地综合整治、集体建设用地整理、农用地整理等内容。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34" w:firstLineChars="200"/>
        <w:jc w:val="both"/>
        <w:textAlignment w:val="baseline"/>
        <w:outlineLvl w:val="9"/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  <w:t>六、自然资源开发利用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包括但不限于政府公示地价体系建设、土地供应、建设用地节约集约利用、农村集体经营性建设用地入市等内容。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34" w:firstLineChars="200"/>
        <w:jc w:val="both"/>
        <w:textAlignment w:val="baseline"/>
        <w:outlineLvl w:val="9"/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  <w:t>七、自然资源资产管理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包括但不限于自然资源资产清查统计、价值评估、资产核算和资产报告等内容。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34" w:firstLineChars="200"/>
        <w:jc w:val="both"/>
        <w:textAlignment w:val="baseline"/>
        <w:outlineLvl w:val="9"/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  <w:t>八、自然资源信息化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包括但不限于自然资源基础性平台建设、信息化基础设施建设以及“一张图”数据库建设等内容。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34" w:firstLineChars="200"/>
        <w:jc w:val="both"/>
        <w:textAlignment w:val="baseline"/>
        <w:outlineLvl w:val="9"/>
        <w:rPr>
          <w:rFonts w:hint="default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  <w:t>其他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包括</w:t>
      </w:r>
      <w:r>
        <w:rPr>
          <w:rFonts w:hint="default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土地征收</w:t>
      </w: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土地储备</w:t>
      </w: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、临时用地和设施农用地管理等。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bidi w:val="0"/>
        <w:spacing w:line="240" w:lineRule="auto"/>
        <w:ind w:right="0" w:rightChars="0"/>
        <w:jc w:val="both"/>
        <w:outlineLvl w:val="9"/>
        <w:rPr>
          <w:rFonts w:ascii="Times New Roman" w:hAnsi="Times New Roman"/>
        </w:rPr>
      </w:pP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bidi w:val="0"/>
        <w:spacing w:line="240" w:lineRule="auto"/>
        <w:ind w:left="420" w:right="0" w:rightChars="0" w:firstLine="0" w:firstLineChars="0"/>
        <w:jc w:val="both"/>
        <w:outlineLvl w:val="9"/>
        <w:rPr>
          <w:rFonts w:ascii="Times New Roman" w:hAnsi="Times New Roman"/>
        </w:rPr>
      </w:pPr>
    </w:p>
    <w:p>
      <w:pPr>
        <w:pStyle w:val="2"/>
        <w:keepNext w:val="0"/>
        <w:keepLines w:val="0"/>
        <w:pageBreakBefore w:val="0"/>
        <w:kinsoku/>
        <w:wordWrap/>
        <w:overflowPunct w:val="0"/>
        <w:topLinePunct w:val="0"/>
        <w:bidi w:val="0"/>
        <w:spacing w:line="240" w:lineRule="auto"/>
        <w:ind w:right="0" w:rightChars="0"/>
        <w:jc w:val="both"/>
        <w:outlineLvl w:val="9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kern w:val="0"/>
          <w:sz w:val="36"/>
          <w:szCs w:val="36"/>
          <w:lang w:val="en-US" w:eastAsia="zh-CN"/>
        </w:rPr>
        <w:t>《规划管理》</w:t>
      </w:r>
    </w:p>
    <w:p>
      <w:pPr>
        <w:pStyle w:val="2"/>
        <w:rPr>
          <w:rFonts w:hint="eastAsia" w:ascii="Times New Roman" w:hAnsi="Times New Roman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《规划管理》总分100分，考试时长90分钟，采取闭卷考试方式。全部为客观性试题，包括单项选择题、多项选择题、不定项选择题和判断题等，主要测查应试人员对应知应会规划管理基础知识的掌握、理解和应用能力，以及规划设计方案审查、规划管理等实务的综合分析判断能力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  <w:t>国土空间规划基础理论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主要包括国土空间规划原理等。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  <w:t>国土空间规划相关知识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包括城乡规划和建设史、城乡经济、城乡地理、城乡生态、交通和市政公用设施规划、数字化与信息技术应用等。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  <w:t>规划管理相关法规与标准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包括国土空间规划相关法律法规，国土空间规划编制、审查、修改、实施的程序和要求，建筑工程相关法律法规，规划和建筑设计标准规范等。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  <w:t>规划设计方案审查相关知识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主要考查规划管理中对规划设计方案审查的综合分析能力，包括但不限于对方案的功能定位、空间结构、用地布局、产业策划、技术指标、交通和市政公用设施、综合防灾、形态管控、实施保障等方面的分析判断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/>
          <w:bCs/>
          <w:spacing w:val="8"/>
          <w:sz w:val="32"/>
          <w:szCs w:val="32"/>
          <w:lang w:val="en-US" w:eastAsia="zh-CN"/>
        </w:rPr>
        <w:t>规划管理应用相关知识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主要考查在规划管理中处理实际问题的能力，如建设项目审批流程、规划条件核实、违法建设处置、规划调整论证等。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Times New Roman" w:hAnsi="Times New Roman" w:eastAsia="黑体" w:cs="Times New Roman"/>
          <w:b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kern w:val="0"/>
          <w:sz w:val="36"/>
          <w:szCs w:val="36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kern w:val="0"/>
          <w:sz w:val="36"/>
          <w:szCs w:val="36"/>
          <w:lang w:val="en-US" w:eastAsia="zh-CN"/>
        </w:rPr>
        <w:t>《测绘地理信息》</w:t>
      </w:r>
    </w:p>
    <w:p>
      <w:pPr>
        <w:pStyle w:val="2"/>
        <w:rPr>
          <w:rFonts w:hint="eastAsia" w:ascii="Times New Roman" w:hAnsi="Times New Roman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default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《测绘地理信息》考试总分100分，考试时间90分钟，采取闭卷考试方式，全部为客观试题。题型为单项选择题、不定项选择题、判断题三种。考试内容主要包括：测绘相关法律法规、测绘专业基础及综合能力、地籍调查、国土调查、不动产登记等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240" w:lineRule="auto"/>
        <w:ind w:right="0" w:rightChars="0" w:firstLine="640"/>
        <w:jc w:val="both"/>
        <w:outlineLvl w:val="9"/>
        <w:rPr>
          <w:rFonts w:hint="default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  <w:t>测绘相关法律法规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default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熟悉测绘法及相关法律，国家、四川省、成都市关于基础测绘、地图管理、测量标志管理保护、测绘成果管理、测绘地理信息质量管理、测绘资质管理规定及分级标准、“多测合一”等方面的法规、规章、规范性文件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240" w:lineRule="auto"/>
        <w:ind w:right="0" w:rightChars="0" w:firstLine="640"/>
        <w:jc w:val="both"/>
        <w:outlineLvl w:val="9"/>
        <w:rPr>
          <w:rFonts w:hint="default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  <w:t>测绘专业基础及综合能力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default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理解和掌握测量相关概念、测绘基本理论、测绘仪器使用、测绘误差理论等基础知识；大地测量、工程测量、不动产测绘、摄影测量与遥感、地图制作、地理信息系统等知识；与自然资源</w:t>
      </w: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管理相关的</w:t>
      </w:r>
      <w:r>
        <w:rPr>
          <w:rFonts w:hint="default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测绘地理信息知识。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240" w:lineRule="auto"/>
        <w:ind w:right="0" w:rightChars="0" w:firstLine="640"/>
        <w:jc w:val="both"/>
        <w:outlineLvl w:val="9"/>
        <w:rPr>
          <w:rFonts w:hint="default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  <w:t>地籍调查、国土调查、不动产登记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default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理解和掌握地籍调查、国土调查、不动产登记相关规程、规范</w:t>
      </w: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、数据库标准</w:t>
      </w:r>
      <w:r>
        <w:rPr>
          <w:rFonts w:hint="default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及工作中涉及的测绘地理信息相关内容和知识。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240" w:lineRule="auto"/>
        <w:ind w:right="0" w:rightChars="0"/>
        <w:jc w:val="both"/>
        <w:outlineLvl w:val="9"/>
        <w:rPr>
          <w:rFonts w:hint="eastAsia" w:ascii="Times New Roman" w:hAnsi="Times New Roman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kern w:val="0"/>
          <w:sz w:val="36"/>
          <w:szCs w:val="36"/>
          <w:lang w:val="en-US" w:eastAsia="zh-CN"/>
        </w:rPr>
        <w:t>《地质资源与地质工程》</w:t>
      </w:r>
    </w:p>
    <w:p>
      <w:pPr>
        <w:pStyle w:val="2"/>
        <w:rPr>
          <w:rFonts w:hint="eastAsia" w:ascii="Times New Roman" w:hAnsi="Times New Roman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《地质资源与地质工程》考试总分100分，考试时间90分钟，采取闭卷考试方式，全部为客观题。题型为单项选择题、多项选择题、不定项选择题、判断题四种。考试内容主要包括：</w:t>
      </w:r>
      <w:r>
        <w:rPr>
          <w:rFonts w:hint="default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地质学</w:t>
      </w: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、土力学和岩石力学、勘探、</w:t>
      </w:r>
      <w:r>
        <w:rPr>
          <w:rFonts w:hint="default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结构与荷载</w:t>
      </w: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浅基础、深基础</w:t>
      </w: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地基处理</w:t>
      </w: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、边坡与支挡结构、基坑、地下工程、特殊地质、地震、</w:t>
      </w:r>
      <w:r>
        <w:rPr>
          <w:rFonts w:hint="default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检测及监测</w:t>
      </w: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、法律法规等。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240" w:lineRule="auto"/>
        <w:ind w:right="0" w:rightChars="0" w:firstLine="640"/>
        <w:jc w:val="both"/>
        <w:outlineLvl w:val="9"/>
        <w:rPr>
          <w:rFonts w:hint="default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  <w:t>地质学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地质年代、矿物与岩石、三大岩类、岩层产状和厚度、岩层接触关系、“V”字形法则、地质构造、赤平投影、第四纪地质与地貌、地质灾害、地质调查与测绘等。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240" w:lineRule="auto"/>
        <w:ind w:right="0" w:rightChars="0" w:firstLine="640"/>
        <w:jc w:val="both"/>
        <w:outlineLvl w:val="9"/>
        <w:rPr>
          <w:rFonts w:hint="default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  <w:t>二、土力学和岩石力学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岩土分类、岩土物理性质、渗透性与渗流、抗剪强度、岩土压力、岩体结构、岩体应力与工程问题、压缩与地基沉降、地基承载力等。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240" w:lineRule="auto"/>
        <w:ind w:right="0" w:rightChars="0" w:firstLine="640"/>
        <w:jc w:val="both"/>
        <w:outlineLvl w:val="9"/>
        <w:rPr>
          <w:rFonts w:hint="default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  <w:t>三、勘探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勘探（物探、钻探、坑探、槽探和井探）与取样、室内试验（土工试验、岩石试验）、原位测试、地下水和特殊性岩土的勘察、岩土工程评价、现场检验与监测。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240" w:lineRule="auto"/>
        <w:ind w:right="0" w:rightChars="0" w:firstLine="640"/>
        <w:jc w:val="both"/>
        <w:outlineLvl w:val="9"/>
        <w:rPr>
          <w:rFonts w:hint="default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  <w:t>四、</w:t>
      </w:r>
      <w:r>
        <w:rPr>
          <w:rFonts w:hint="default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  <w:t>结构与荷载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结构和荷载类型、设计基准期、设计使用年限、可靠性和设计方法、承载力极限状态和正常使用状态、结构重要性系数、荷载组合。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240" w:lineRule="auto"/>
        <w:ind w:right="0" w:rightChars="0" w:firstLine="640"/>
        <w:jc w:val="both"/>
        <w:outlineLvl w:val="9"/>
        <w:rPr>
          <w:rFonts w:hint="default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  <w:t>五、</w:t>
      </w:r>
      <w:r>
        <w:rPr>
          <w:rFonts w:hint="default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  <w:t>浅基础、深基础和地基处理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（1）浅基础：设计原则、基底压力和附加压力、基础类型、地基承载力、基础沉降、基础方案、基础设计、不均匀沉降、地基基础与上部结构共同作用。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（2）桩基础：桩的类型、基桩构造、单桩竖向承载力、群桩的竖向承载力、特殊条件下桩基的设计、挤土效应、变刚度调平设计、桩基沉降计算、桩基水平承载力和水平位移、承台设计、桩基施工、检测与验收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（3）地基处理：地基处理方法、适用条件、地基处理设计、复合地基、检测与验收。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240" w:lineRule="auto"/>
        <w:ind w:right="0" w:rightChars="0" w:firstLine="640"/>
        <w:jc w:val="both"/>
        <w:outlineLvl w:val="9"/>
        <w:rPr>
          <w:rFonts w:hint="default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  <w:t>六、边坡与支挡结构、基坑和地下工程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（1）边坡与支挡结构：稳定影响因素、破坏的类型和特征、稳定分析、防护技术、排水工程、检测和监测。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（2）基坑工程：基坑设计、施工及选型、设计与计算检测和监测、环境影响与防治措施、基坑事故分析。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（3）地下工程：围岩分类、支护类型、新奥法、矿山法、掘进机法、盾构法。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（4）地下水：地下水分类、水文地质试验、腐蚀性、地下水作用、防渗和降排水技术、设计计算与施工、环境的影响与防治措施。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240" w:lineRule="auto"/>
        <w:ind w:right="0" w:rightChars="0" w:firstLine="640"/>
        <w:jc w:val="both"/>
        <w:outlineLvl w:val="9"/>
        <w:rPr>
          <w:rFonts w:hint="default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  <w:t>七、特殊地质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岩溶与土洞、滑坡与崩塌、泥石流、采空区、地面沉降与地裂缝、活动断裂、膨胀岩土、填土、软土、混合土、污染土、风化岩等。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240" w:lineRule="auto"/>
        <w:ind w:right="0" w:rightChars="0" w:firstLine="640"/>
        <w:jc w:val="both"/>
        <w:outlineLvl w:val="9"/>
        <w:rPr>
          <w:rFonts w:hint="default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  <w:t>八、地震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（1）抗震设防的基本概念：三个水准要求、地震烈度和地震作用、地震影响系数、地震反应谱曲线、地震动参数。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（2）剪切波速与场地类别：剪切波速、场地覆盖层、场地类别。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（3）发震断裂：概念和近场效应。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（4）砂土的液化和震陷：液化原理及危害、判别方法、液化指标和等级划分、抗液化措施。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240" w:lineRule="auto"/>
        <w:ind w:right="0" w:rightChars="0" w:firstLine="640"/>
        <w:jc w:val="both"/>
        <w:outlineLvl w:val="9"/>
        <w:rPr>
          <w:rFonts w:hint="default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  <w:t>九、</w:t>
      </w:r>
      <w:r>
        <w:rPr>
          <w:rFonts w:hint="default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  <w:t>检测及监测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（1）检测：检测方法（静力触探、标准贯入、动力触探、高应变法和低应变法、静载荷试验、钻芯法、声波法、压实度、抗拔试验、地基检测等）和适用条件；检测数据分析与工程质量评价方法。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（2）监测：项目（地下水、建筑沉降、基坑、边坡、地质灾害等）监测目的、内容和方法，监测资料的整理与分析，监测数据的应用。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240" w:lineRule="auto"/>
        <w:ind w:right="0" w:rightChars="0" w:firstLine="640"/>
        <w:jc w:val="both"/>
        <w:outlineLvl w:val="9"/>
        <w:rPr>
          <w:rFonts w:hint="default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/>
          <w:bCs/>
          <w:spacing w:val="8"/>
          <w:kern w:val="2"/>
          <w:sz w:val="32"/>
          <w:szCs w:val="32"/>
          <w:lang w:val="en-US" w:eastAsia="zh-CN" w:bidi="ar-SA"/>
        </w:rPr>
        <w:t>十、法律法规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（1）行业法律和法规：建筑法规、招投标法规、安全生产法规等。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（2）地方规定：四川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  <w:t>省和成都市颁布的法规和通知。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rightChars="0" w:firstLine="608" w:firstLineChars="200"/>
        <w:jc w:val="both"/>
        <w:textAlignment w:val="baseline"/>
        <w:outlineLvl w:val="9"/>
        <w:rPr>
          <w:rFonts w:hint="eastAsia" w:ascii="Times New Roman" w:hAnsi="Times New Roman" w:eastAsia="方正仿宋_GBK" w:cs="方正仿宋_GBK"/>
          <w:spacing w:val="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___WRD_EMBED_SUB_46">
    <w:altName w:val="宋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美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美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超粗黑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超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EBADD"/>
    <w:multiLevelType w:val="singleLevel"/>
    <w:tmpl w:val="69AEBADD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9AEBAF1"/>
    <w:multiLevelType w:val="singleLevel"/>
    <w:tmpl w:val="69AEBAF1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3D52"/>
    <w:rsid w:val="02F2070D"/>
    <w:rsid w:val="033536CD"/>
    <w:rsid w:val="03390BF2"/>
    <w:rsid w:val="06993047"/>
    <w:rsid w:val="069935A0"/>
    <w:rsid w:val="079551B1"/>
    <w:rsid w:val="07C356CA"/>
    <w:rsid w:val="07DF26A9"/>
    <w:rsid w:val="086748FD"/>
    <w:rsid w:val="08C064B7"/>
    <w:rsid w:val="0B0D73AA"/>
    <w:rsid w:val="0B710798"/>
    <w:rsid w:val="0DB91535"/>
    <w:rsid w:val="0EB36374"/>
    <w:rsid w:val="0F925414"/>
    <w:rsid w:val="108415D8"/>
    <w:rsid w:val="128E70DB"/>
    <w:rsid w:val="14BA102C"/>
    <w:rsid w:val="151517CA"/>
    <w:rsid w:val="15D25676"/>
    <w:rsid w:val="16B37B7F"/>
    <w:rsid w:val="175A4043"/>
    <w:rsid w:val="17C9683F"/>
    <w:rsid w:val="18057EEE"/>
    <w:rsid w:val="1B805CFA"/>
    <w:rsid w:val="1D5E65EF"/>
    <w:rsid w:val="1E1F47E2"/>
    <w:rsid w:val="1F1B2F33"/>
    <w:rsid w:val="215C13CD"/>
    <w:rsid w:val="21797A18"/>
    <w:rsid w:val="245A45FA"/>
    <w:rsid w:val="261F4AA1"/>
    <w:rsid w:val="273D1B39"/>
    <w:rsid w:val="298F5CB0"/>
    <w:rsid w:val="2A6701CE"/>
    <w:rsid w:val="2AB658F6"/>
    <w:rsid w:val="2B9742E6"/>
    <w:rsid w:val="2C591ECC"/>
    <w:rsid w:val="2F1C7BF8"/>
    <w:rsid w:val="3148321F"/>
    <w:rsid w:val="31656DBA"/>
    <w:rsid w:val="331841A3"/>
    <w:rsid w:val="347D1A99"/>
    <w:rsid w:val="35FE4794"/>
    <w:rsid w:val="37482AC3"/>
    <w:rsid w:val="382F2B8B"/>
    <w:rsid w:val="398330E3"/>
    <w:rsid w:val="3A4E20F6"/>
    <w:rsid w:val="3A84098F"/>
    <w:rsid w:val="3ADF5618"/>
    <w:rsid w:val="3B146B86"/>
    <w:rsid w:val="3B2B0390"/>
    <w:rsid w:val="3C67413E"/>
    <w:rsid w:val="3C6F6BC9"/>
    <w:rsid w:val="3CDA31FA"/>
    <w:rsid w:val="3E4972EF"/>
    <w:rsid w:val="40F44E3A"/>
    <w:rsid w:val="414A308A"/>
    <w:rsid w:val="4230531E"/>
    <w:rsid w:val="45C22E81"/>
    <w:rsid w:val="464F7B1C"/>
    <w:rsid w:val="48A8149D"/>
    <w:rsid w:val="491E6B87"/>
    <w:rsid w:val="4C8047FC"/>
    <w:rsid w:val="4C882C56"/>
    <w:rsid w:val="4D02556B"/>
    <w:rsid w:val="4D3B5891"/>
    <w:rsid w:val="4F0803B6"/>
    <w:rsid w:val="4F6B5870"/>
    <w:rsid w:val="4F9C3803"/>
    <w:rsid w:val="4FDC7573"/>
    <w:rsid w:val="50E76421"/>
    <w:rsid w:val="510D0259"/>
    <w:rsid w:val="55156C74"/>
    <w:rsid w:val="5634613A"/>
    <w:rsid w:val="56570281"/>
    <w:rsid w:val="567D2D64"/>
    <w:rsid w:val="56AA29F7"/>
    <w:rsid w:val="56C7309F"/>
    <w:rsid w:val="5838794E"/>
    <w:rsid w:val="58654271"/>
    <w:rsid w:val="58E41D45"/>
    <w:rsid w:val="5ADD7DC7"/>
    <w:rsid w:val="5B040ABC"/>
    <w:rsid w:val="5B1C6AD6"/>
    <w:rsid w:val="5C2956C2"/>
    <w:rsid w:val="5CF1545F"/>
    <w:rsid w:val="5F134F86"/>
    <w:rsid w:val="5F1B7D3E"/>
    <w:rsid w:val="5F6D2DB8"/>
    <w:rsid w:val="60124FA9"/>
    <w:rsid w:val="60517F37"/>
    <w:rsid w:val="605431D9"/>
    <w:rsid w:val="64841150"/>
    <w:rsid w:val="657A5371"/>
    <w:rsid w:val="6610701B"/>
    <w:rsid w:val="663226E2"/>
    <w:rsid w:val="66ED5F12"/>
    <w:rsid w:val="676548D5"/>
    <w:rsid w:val="69BF1460"/>
    <w:rsid w:val="6A2B39BA"/>
    <w:rsid w:val="6A7D23D5"/>
    <w:rsid w:val="6A9F3AA3"/>
    <w:rsid w:val="6AE9316C"/>
    <w:rsid w:val="6B074317"/>
    <w:rsid w:val="6B4424BD"/>
    <w:rsid w:val="6E5D72F9"/>
    <w:rsid w:val="6E850455"/>
    <w:rsid w:val="703B6B65"/>
    <w:rsid w:val="719D0AC1"/>
    <w:rsid w:val="71C83632"/>
    <w:rsid w:val="7280721D"/>
    <w:rsid w:val="74CE2DD6"/>
    <w:rsid w:val="759220C0"/>
    <w:rsid w:val="7678601F"/>
    <w:rsid w:val="77AB165B"/>
    <w:rsid w:val="79663EBE"/>
    <w:rsid w:val="79781FE3"/>
    <w:rsid w:val="7AA97D91"/>
    <w:rsid w:val="7C3740EA"/>
    <w:rsid w:val="7E63202B"/>
    <w:rsid w:val="7F085F0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4">
    <w:name w:val="Body Text"/>
    <w:basedOn w:val="1"/>
    <w:qFormat/>
    <w:uiPriority w:val="0"/>
    <w:rPr>
      <w:rFonts w:ascii="FangSong_GB2312" w:hAnsi="FangSong_GB2312" w:eastAsia="FangSong_GB2312" w:cs="FangSong_GB2312"/>
      <w:sz w:val="29"/>
      <w:szCs w:val="29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paragraph" w:customStyle="1" w:styleId="10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3609</Words>
  <Characters>3665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2024-03-25T03:02:00Z</dcterms:created>
  <dc:creator>Administrator</dc:creator>
  <cp:lastModifiedBy>123</cp:lastModifiedBy>
  <cp:lastPrinted>2026-03-10T02:12:55Z</cp:lastPrinted>
  <dcterms:modified xsi:type="dcterms:W3CDTF">2026-03-10T02:15:21Z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  <property fmtid="{D5CDD505-2E9C-101B-9397-08002B2CF9AE}" pid="3" name="ICV">
    <vt:lpwstr>1A99E74BBC2549B4BDDE943170269148</vt:lpwstr>
  </property>
</Properties>
</file>