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24"/>
          <w:szCs w:val="24"/>
        </w:rPr>
      </w:pPr>
      <w:bookmarkStart w:id="0" w:name="_GoBack"/>
      <w:r>
        <w:rPr>
          <w:rFonts w:ascii="宋体" w:hAnsi="宋体" w:eastAsia="宋体" w:cs="宋体"/>
          <w:sz w:val="36"/>
          <w:szCs w:val="36"/>
        </w:rPr>
        <w:t>关于“双一流”院校及学科的说明</w:t>
      </w:r>
      <w:bookmarkEnd w:id="0"/>
      <w:r>
        <w:rPr>
          <w:rFonts w:ascii="宋体" w:hAnsi="宋体" w:eastAsia="宋体" w:cs="宋体"/>
          <w:sz w:val="24"/>
          <w:szCs w:val="24"/>
        </w:rPr>
        <w:br w:type="textWrapp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一流大学建设包含建设世界一流大学和世界一流学科。世界一流大学建设重在大学一流学科基础上的学校整体建设、重点建设，全面提升人才培养水平和创新能力；世界一流学科建设重在大学优势学科建设，促进特色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目前，根据教育部公布的名单可知，首批国家双一流大学名单共计137所，其中世界一流大学建设高校42所（A类36所，B类6所），世界一流学科建设高校95所。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以上信息来源于网络，最终将以教育部等权威信息发布为依据。）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本次招聘的本科学历人员必须为“双一流”大学且符合我行专业要求的往、应届毕业生，请本科学历应聘人员自行到教育部等相关网站查询所属院校及所学学科是否属于“双一流”，如属于方可进行简历投递。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pPr>
      <w:r>
        <w:rPr>
          <w:rFonts w:hint="eastAsia" w:ascii="仿宋_GB2312" w:hAnsi="仿宋_GB2312" w:eastAsia="仿宋_GB2312" w:cs="仿宋_GB2312"/>
          <w:sz w:val="32"/>
          <w:szCs w:val="32"/>
        </w:rPr>
        <w:t>特此说明。</w:t>
      </w:r>
      <w:r>
        <w:rPr>
          <w:rFonts w:ascii="宋体" w:hAnsi="宋体" w:eastAsia="宋体" w:cs="宋体"/>
          <w:sz w:val="24"/>
          <w:szCs w:val="24"/>
        </w:rPr>
        <w:br w:type="textWrapping"/>
      </w:r>
      <w:r>
        <w:rPr>
          <w:rFonts w:ascii="宋体" w:hAnsi="宋体" w:eastAsia="宋体" w:cs="宋体"/>
          <w:sz w:val="24"/>
          <w:szCs w:val="24"/>
        </w:rPr>
        <w:t>                            </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53958"/>
    <w:rsid w:val="6F5539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2020-04-01T07:19:00Z</dcterms:created>
  <dc:creator>王振宇</dc:creator>
  <cp:lastModifiedBy>王振宇</cp:lastModifiedBy>
  <dcterms:modified xsi:type="dcterms:W3CDTF">2020-04-01T07:22:03Z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