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6AC35">
      <w:pPr>
        <w:pStyle w:val="2"/>
        <w:spacing w:before="63" w:line="766" w:lineRule="exact"/>
        <w:ind w:left="1551"/>
      </w:pPr>
      <w:r>
        <w:t>鼎湖区（肇庆新区）宜居宜业城市简介</w:t>
      </w:r>
    </w:p>
    <w:p w14:paraId="363EB93C">
      <w:pPr>
        <w:pStyle w:val="2"/>
        <w:spacing w:before="63" w:line="766" w:lineRule="exact"/>
        <w:ind w:left="1551"/>
      </w:pPr>
    </w:p>
    <w:p w14:paraId="2A3C6D7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40" w:firstLineChars="200"/>
        <w:jc w:val="left"/>
        <w:textAlignment w:val="auto"/>
      </w:pPr>
      <w:r>
        <w:t>肇庆市鼎湖区（肇庆新区）地处粤港澳大湾区核心区位，是广东</w:t>
      </w:r>
    </w:p>
    <w:p w14:paraId="3C53275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/>
        <w:jc w:val="left"/>
        <w:textAlignment w:val="auto"/>
      </w:pPr>
      <w:r>
        <w:t>省全域旅游示范区，是肇庆市推进中国式现代化建设的排头兵、全市高质量发展的主引擎、参与粤港澳大湾区建设的主阵地、产城融合的</w:t>
      </w:r>
      <w:r>
        <w:rPr>
          <w:spacing w:val="-11"/>
        </w:rPr>
        <w:t>示范区，是肇庆市中心城区的重要组成部分。这里集</w:t>
      </w:r>
      <w:r>
        <w:rPr>
          <w:rFonts w:ascii="Times New Roman" w:hAnsi="Times New Roman" w:eastAsia="Times New Roman"/>
        </w:rPr>
        <w:t>“</w:t>
      </w:r>
      <w:r>
        <w:rPr>
          <w:spacing w:val="-21"/>
        </w:rPr>
        <w:t>山、湖、城、江、</w:t>
      </w:r>
      <w:r>
        <w:rPr>
          <w:spacing w:val="-20"/>
        </w:rPr>
        <w:t>峡、林</w:t>
      </w:r>
      <w:r>
        <w:rPr>
          <w:rFonts w:ascii="Times New Roman" w:hAnsi="Times New Roman" w:eastAsia="Times New Roman"/>
        </w:rPr>
        <w:t>”</w:t>
      </w:r>
      <w:r>
        <w:rPr>
          <w:spacing w:val="-8"/>
        </w:rPr>
        <w:t>于一体，依托得天独厚的生态资源与人文底蕴，正加速建设成为粤港澳大湾区特色精品城市，兼具宜居魅力与产业活力。</w:t>
      </w:r>
    </w:p>
    <w:p w14:paraId="3E27BA9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left="0" w:right="0" w:firstLine="640" w:firstLineChars="200"/>
        <w:jc w:val="both"/>
        <w:textAlignment w:val="auto"/>
        <w:rPr>
          <w:rFonts w:hint="eastAsia"/>
          <w:spacing w:val="5"/>
          <w:lang w:val="en-US"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710565</wp:posOffset>
            </wp:positionV>
            <wp:extent cx="3884930" cy="2662555"/>
            <wp:effectExtent l="0" t="0" r="1270" b="444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6" cy="266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6"/>
        </w:rPr>
        <w:t>鼎湖区</w:t>
      </w:r>
      <w:r>
        <w:t>（肇庆新区</w:t>
      </w:r>
      <w:r>
        <w:rPr>
          <w:spacing w:val="-78"/>
        </w:rPr>
        <w:t>）</w:t>
      </w:r>
      <w:r>
        <w:t>坐拥</w:t>
      </w:r>
      <w:r>
        <w:rPr>
          <w:rFonts w:ascii="Times New Roman" w:hAnsi="Times New Roman" w:eastAsia="Times New Roman"/>
        </w:rPr>
        <w:t>“</w:t>
      </w:r>
      <w:r>
        <w:t>北回归线上的绿洲</w:t>
      </w:r>
      <w:r>
        <w:rPr>
          <w:rFonts w:ascii="Times New Roman" w:hAnsi="Times New Roman" w:eastAsia="Times New Roman"/>
        </w:rPr>
        <w:t>”——</w:t>
      </w:r>
      <w:r>
        <w:rPr>
          <w:spacing w:val="-30"/>
        </w:rPr>
        <w:t xml:space="preserve">国家 </w:t>
      </w:r>
      <w:r>
        <w:rPr>
          <w:rFonts w:ascii="Times New Roman" w:hAnsi="Times New Roman" w:eastAsia="Times New Roman"/>
        </w:rPr>
        <w:t xml:space="preserve">5A </w:t>
      </w:r>
      <w:r>
        <w:t>级景区</w:t>
      </w:r>
      <w:r>
        <w:rPr>
          <w:spacing w:val="-24"/>
        </w:rPr>
        <w:t xml:space="preserve">鼎湖山，森林覆盖率超 </w:t>
      </w:r>
      <w:r>
        <w:rPr>
          <w:rFonts w:ascii="Times New Roman" w:hAnsi="Times New Roman" w:eastAsia="Times New Roman"/>
        </w:rPr>
        <w:t>71%</w:t>
      </w:r>
      <w:r>
        <w:rPr>
          <w:spacing w:val="-22"/>
        </w:rPr>
        <w:t>，空气负氧离子浓度居全国之首，被誉为</w:t>
      </w:r>
      <w:r>
        <w:rPr>
          <w:rFonts w:ascii="Times New Roman" w:hAnsi="Times New Roman" w:eastAsia="Times New Roman"/>
        </w:rPr>
        <w:t>“</w:t>
      </w:r>
      <w:r>
        <w:t>天然大氧吧</w:t>
      </w:r>
      <w:r>
        <w:rPr>
          <w:rFonts w:ascii="Times New Roman" w:hAnsi="Times New Roman" w:eastAsia="Times New Roman"/>
        </w:rPr>
        <w:t>”</w:t>
      </w:r>
      <w:r>
        <w:rPr>
          <w:spacing w:val="-33"/>
        </w:rPr>
        <w:t xml:space="preserve">。全区 </w:t>
      </w:r>
      <w:r>
        <w:rPr>
          <w:rFonts w:ascii="Times New Roman" w:hAnsi="Times New Roman" w:eastAsia="Times New Roman"/>
        </w:rPr>
        <w:t xml:space="preserve">40 </w:t>
      </w:r>
      <w:r>
        <w:rPr>
          <w:spacing w:val="-14"/>
        </w:rPr>
        <w:t xml:space="preserve">万亩森林与 </w:t>
      </w:r>
      <w:r>
        <w:rPr>
          <w:rFonts w:ascii="Times New Roman" w:hAnsi="Times New Roman" w:eastAsia="Times New Roman"/>
        </w:rPr>
        <w:t xml:space="preserve">250 </w:t>
      </w:r>
      <w:r>
        <w:rPr>
          <w:spacing w:val="-4"/>
        </w:rPr>
        <w:t>平方公里平原交相辉映，获评</w:t>
      </w:r>
      <w:r>
        <w:rPr>
          <w:rFonts w:ascii="Times New Roman" w:hAnsi="Times New Roman" w:eastAsia="Times New Roman"/>
        </w:rPr>
        <w:t>“</w:t>
      </w:r>
      <w:r>
        <w:t>中</w:t>
      </w:r>
      <w:r>
        <w:rPr>
          <w:spacing w:val="5"/>
        </w:rPr>
        <w:t>国</w:t>
      </w:r>
      <w:r>
        <w:rPr>
          <w:rFonts w:ascii="Times New Roman" w:hAnsi="Times New Roman" w:eastAsia="Times New Roman"/>
          <w:spacing w:val="5"/>
        </w:rPr>
        <w:t>·</w:t>
      </w:r>
      <w:r>
        <w:rPr>
          <w:spacing w:val="5"/>
        </w:rPr>
        <w:t>鼎湖世界长寿之乡</w:t>
      </w:r>
      <w:r>
        <w:rPr>
          <w:rFonts w:ascii="Times New Roman" w:hAnsi="Times New Roman" w:eastAsia="Times New Roman"/>
        </w:rPr>
        <w:t>”</w:t>
      </w:r>
      <w:r>
        <w:t>，</w:t>
      </w:r>
      <w:r>
        <w:rPr>
          <w:rFonts w:ascii="Times New Roman" w:hAnsi="Times New Roman" w:eastAsia="Times New Roman"/>
        </w:rPr>
        <w:t xml:space="preserve">80 </w:t>
      </w:r>
      <w:r>
        <w:rPr>
          <w:spacing w:val="18"/>
        </w:rPr>
        <w:t>岁以上长寿人口占比</w:t>
      </w:r>
      <w:r>
        <w:rPr>
          <w:spacing w:val="7"/>
        </w:rPr>
        <w:t>远超国家标准。建设地下</w:t>
      </w:r>
      <w:r>
        <w:rPr>
          <w:spacing w:val="5"/>
        </w:rPr>
        <w:t>综合管廊是</w:t>
      </w:r>
      <w:r>
        <w:rPr>
          <w:rFonts w:hint="eastAsia"/>
          <w:spacing w:val="5"/>
          <w:lang w:val="en-US" w:eastAsia="zh-CN"/>
        </w:rPr>
        <w:t xml:space="preserve">    </w:t>
      </w:r>
    </w:p>
    <w:p w14:paraId="5095826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ind w:right="0"/>
        <w:jc w:val="both"/>
        <w:textAlignment w:val="auto"/>
      </w:pPr>
      <w:r>
        <w:rPr>
          <w:spacing w:val="5"/>
        </w:rPr>
        <w:t>鼎湖区</w:t>
      </w:r>
      <w:r>
        <w:t>（肇庆新区</w:t>
      </w:r>
      <w:r>
        <w:rPr>
          <w:spacing w:val="-14"/>
        </w:rPr>
        <w:t>）</w:t>
      </w:r>
      <w:r>
        <w:t>创新城市基础设施</w:t>
      </w:r>
      <w:r>
        <w:rPr>
          <w:spacing w:val="32"/>
        </w:rPr>
        <w:t>建设的重要举措，砚阳</w:t>
      </w:r>
      <w:r>
        <w:rPr>
          <w:spacing w:val="-4"/>
        </w:rPr>
        <w:t>湖、长利湖等水系景观与</w:t>
      </w:r>
      <w:r>
        <w:rPr>
          <w:spacing w:val="-6"/>
        </w:rPr>
        <w:t>湿地公园串联成网，蓝绿</w:t>
      </w:r>
      <w:r>
        <w:rPr>
          <w:spacing w:val="-18"/>
        </w:rPr>
        <w:t xml:space="preserve">空间占比超 </w:t>
      </w:r>
      <w:r>
        <w:rPr>
          <w:rFonts w:ascii="Times New Roman" w:hAnsi="Times New Roman" w:eastAsia="Times New Roman"/>
        </w:rPr>
        <w:t>50</w:t>
      </w:r>
      <w:r>
        <w:rPr>
          <w:rFonts w:ascii="Times New Roman" w:hAnsi="Times New Roman" w:eastAsia="Times New Roman"/>
          <w:spacing w:val="-2"/>
        </w:rPr>
        <w:t>%</w:t>
      </w:r>
      <w:r>
        <w:rPr>
          <w:spacing w:val="-54"/>
        </w:rPr>
        <w:t>，构建</w:t>
      </w:r>
      <w:r>
        <w:rPr>
          <w:rFonts w:ascii="Times New Roman" w:hAnsi="Times New Roman" w:eastAsia="Times New Roman"/>
        </w:rPr>
        <w:t>“</w:t>
      </w:r>
      <w:r>
        <w:t>五水共治，山水融城</w:t>
      </w:r>
      <w:r>
        <w:rPr>
          <w:rFonts w:ascii="Times New Roman" w:hAnsi="Times New Roman" w:eastAsia="Times New Roman"/>
        </w:rPr>
        <w:t>”</w:t>
      </w:r>
      <w:r>
        <w:t>的生态格局，水环境综合指数全省排名第一</w:t>
      </w:r>
      <w:r>
        <w:rPr>
          <w:rFonts w:ascii="Times New Roman" w:hAnsi="Times New Roman" w:eastAsia="Times New Roman"/>
        </w:rPr>
        <w:t>,</w:t>
      </w:r>
      <w:r>
        <w:t>构建不可复制的生态瑰宝，成为粤港澳大湾区珍稀的康养首选地。</w:t>
      </w:r>
    </w:p>
    <w:p w14:paraId="0712AE1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20" w:lineRule="exact"/>
        <w:ind w:left="0" w:right="0" w:firstLine="640" w:firstLineChars="200"/>
        <w:jc w:val="both"/>
        <w:textAlignment w:val="auto"/>
      </w:pPr>
      <w:r>
        <w:t>生活配套方面，鼎湖区（肇庆新区）医疗资源丰富，中山三院肇庆医院、肇庆正大国健康复医院等优质医疗机构保障居民健康；教育</w:t>
      </w:r>
      <w:r>
        <w:rPr>
          <w:spacing w:val="-16"/>
        </w:rPr>
        <w:t xml:space="preserve">体系完善，基础教育雄厚，学位充足，现有中小学校 </w:t>
      </w:r>
      <w:r>
        <w:rPr>
          <w:rFonts w:ascii="Times New Roman" w:eastAsia="Times New Roman"/>
        </w:rPr>
        <w:t xml:space="preserve">27 </w:t>
      </w:r>
      <w:r>
        <w:t xml:space="preserve">所其中完全中学 </w:t>
      </w:r>
      <w:r>
        <w:rPr>
          <w:rFonts w:ascii="Times New Roman" w:eastAsia="Times New Roman"/>
        </w:rPr>
        <w:t xml:space="preserve">1 </w:t>
      </w:r>
      <w:r>
        <w:t xml:space="preserve">所、高中 </w:t>
      </w:r>
      <w:r>
        <w:rPr>
          <w:rFonts w:ascii="Times New Roman" w:eastAsia="Times New Roman"/>
        </w:rPr>
        <w:t xml:space="preserve">1 </w:t>
      </w:r>
      <w:r>
        <w:t xml:space="preserve">所、十二年制学校 </w:t>
      </w:r>
      <w:r>
        <w:rPr>
          <w:rFonts w:ascii="Times New Roman" w:eastAsia="Times New Roman"/>
        </w:rPr>
        <w:t xml:space="preserve">2 </w:t>
      </w:r>
      <w:r>
        <w:t xml:space="preserve">所、九年一贯制学校 </w:t>
      </w:r>
      <w:r>
        <w:rPr>
          <w:rFonts w:ascii="Times New Roman" w:eastAsia="Times New Roman"/>
        </w:rPr>
        <w:t xml:space="preserve">5 </w:t>
      </w:r>
      <w:r>
        <w:t>所、初中</w:t>
      </w:r>
      <w:r>
        <w:rPr>
          <w:rFonts w:ascii="Times New Roman" w:eastAsia="Times New Roman"/>
        </w:rPr>
        <w:t xml:space="preserve">6 </w:t>
      </w:r>
      <w:r>
        <w:t xml:space="preserve">所、小学 </w:t>
      </w:r>
      <w:r>
        <w:rPr>
          <w:rFonts w:ascii="Times New Roman" w:eastAsia="Times New Roman"/>
        </w:rPr>
        <w:t xml:space="preserve">12 </w:t>
      </w:r>
      <w:r>
        <w:t xml:space="preserve">所，在校学生 </w:t>
      </w:r>
      <w:r>
        <w:rPr>
          <w:rFonts w:ascii="Times New Roman" w:eastAsia="Times New Roman"/>
        </w:rPr>
        <w:t xml:space="preserve">33645 </w:t>
      </w:r>
      <w:r>
        <w:t xml:space="preserve">人；有本科高校 </w:t>
      </w:r>
      <w:r>
        <w:rPr>
          <w:rFonts w:ascii="Times New Roman" w:eastAsia="Times New Roman"/>
        </w:rPr>
        <w:t xml:space="preserve">4 </w:t>
      </w:r>
      <w:r>
        <w:t>所，专科职业院</w:t>
      </w:r>
      <w:r>
        <w:rPr>
          <w:spacing w:val="-39"/>
        </w:rPr>
        <w:t xml:space="preserve">校 </w:t>
      </w:r>
      <w:r>
        <w:rPr>
          <w:rFonts w:ascii="Times New Roman" w:hAnsi="Times New Roman" w:eastAsia="Times New Roman"/>
        </w:rPr>
        <w:t xml:space="preserve">3 </w:t>
      </w:r>
      <w:r>
        <w:rPr>
          <w:spacing w:val="-9"/>
        </w:rPr>
        <w:t xml:space="preserve">所，在校学生接近 </w:t>
      </w:r>
      <w:r>
        <w:rPr>
          <w:rFonts w:ascii="Times New Roman" w:hAnsi="Times New Roman" w:eastAsia="Times New Roman"/>
        </w:rPr>
        <w:t xml:space="preserve">8 </w:t>
      </w:r>
      <w:r>
        <w:t>万人，在（筹）</w:t>
      </w:r>
      <w:r>
        <w:rPr>
          <w:spacing w:val="-13"/>
        </w:rPr>
        <w:t xml:space="preserve">建本科高校 </w:t>
      </w:r>
      <w:r>
        <w:rPr>
          <w:rFonts w:ascii="Times New Roman" w:hAnsi="Times New Roman" w:eastAsia="Times New Roman"/>
        </w:rPr>
        <w:t xml:space="preserve">5 </w:t>
      </w:r>
      <w:r>
        <w:t>所，待高校全</w:t>
      </w:r>
      <w:r>
        <w:rPr>
          <w:spacing w:val="-1"/>
        </w:rPr>
        <w:t>部建成后，高校数和在校生数在广东省将排第三；商业服务便捷，万达广场、保利花园等商圈与星级酒店林立，满足多元需求。作为大湾</w:t>
      </w:r>
      <w:r>
        <w:rPr>
          <w:spacing w:val="-7"/>
        </w:rPr>
        <w:t>区枢纽门户，鼎湖区</w:t>
      </w:r>
      <w:r>
        <w:t>（肇庆新区</w:t>
      </w:r>
      <w:r>
        <w:rPr>
          <w:spacing w:val="-20"/>
        </w:rPr>
        <w:t>）</w:t>
      </w:r>
      <w:r>
        <w:t>拥有</w:t>
      </w:r>
      <w:r>
        <w:rPr>
          <w:rFonts w:ascii="Times New Roman" w:hAnsi="Times New Roman" w:eastAsia="Times New Roman"/>
        </w:rPr>
        <w:t>“</w:t>
      </w:r>
      <w:r>
        <w:rPr>
          <w:spacing w:val="-7"/>
        </w:rPr>
        <w:t>四条高速、两条高铁、一条城</w:t>
      </w:r>
      <w:r>
        <w:rPr>
          <w:spacing w:val="2"/>
        </w:rPr>
        <w:t>际轨道、一个内河港口</w:t>
      </w:r>
      <w:r>
        <w:rPr>
          <w:rFonts w:ascii="Times New Roman" w:hAnsi="Times New Roman" w:eastAsia="Times New Roman"/>
          <w:spacing w:val="5"/>
        </w:rPr>
        <w:t>”</w:t>
      </w:r>
      <w:r>
        <w:rPr>
          <w:spacing w:val="1"/>
        </w:rPr>
        <w:t>的立体交通网络，广佛肇同城一体化，</w:t>
      </w:r>
      <w:r>
        <w:rPr>
          <w:rFonts w:ascii="Times New Roman" w:hAnsi="Times New Roman" w:eastAsia="Times New Roman"/>
        </w:rPr>
        <w:t xml:space="preserve">30 </w:t>
      </w:r>
      <w:r>
        <w:t>分</w:t>
      </w:r>
      <w:r>
        <w:rPr>
          <w:spacing w:val="1"/>
        </w:rPr>
        <w:t>钟直达广州，</w:t>
      </w:r>
      <w:r>
        <w:rPr>
          <w:rFonts w:ascii="Times New Roman" w:hAnsi="Times New Roman" w:eastAsia="Times New Roman"/>
        </w:rPr>
        <w:t xml:space="preserve">1 </w:t>
      </w:r>
      <w:r>
        <w:rPr>
          <w:spacing w:val="2"/>
        </w:rPr>
        <w:t>小时通达深港澳（其中高铁直达香港），毗邻广州白</w:t>
      </w:r>
      <w:r>
        <w:t>云国际机场和在建的佛山高明国际机场，高效连接泛珠三角与东盟经济区。</w:t>
      </w:r>
    </w:p>
    <w:p w14:paraId="5BF5E94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20" w:lineRule="exact"/>
        <w:ind w:left="0" w:right="0" w:firstLine="640" w:firstLineChars="200"/>
        <w:jc w:val="both"/>
        <w:textAlignment w:val="auto"/>
      </w:pPr>
      <w:r>
        <w:t>鼎湖区（肇庆新区）处于粤港澳大湾区连通东盟经济区和大西南地区的咽喉位置，作为粤港澳特色合作区，是对接珠海横琴、深圳前海、广州南沙的核心平台将发展成为粤港澳大湾区连接东盟经济区、</w:t>
      </w:r>
      <w:r>
        <w:rPr>
          <w:spacing w:val="-1"/>
        </w:rPr>
        <w:t>北部湾经济区和泛粤港澳大湾区域的重要枢组纽门户。产业布局上， 鼎湖区聚焦</w:t>
      </w:r>
      <w:r>
        <w:rPr>
          <w:rFonts w:ascii="Times New Roman" w:hAnsi="Times New Roman" w:eastAsia="Times New Roman"/>
          <w:spacing w:val="-1"/>
        </w:rPr>
        <w:t>“2+3”</w:t>
      </w:r>
      <w:r>
        <w:rPr>
          <w:spacing w:val="-18"/>
        </w:rPr>
        <w:t>产业集群，以新能源汽车及零部件、电子信息为主导， 食品饮料、文旅康养、现代服务业为特色。粤港澳大湾区生态科技产</w:t>
      </w:r>
      <w:r>
        <w:rPr>
          <w:spacing w:val="-3"/>
        </w:rPr>
        <w:t xml:space="preserve">业园、临港产业园等四大园区吸引超 </w:t>
      </w:r>
      <w:r>
        <w:rPr>
          <w:rFonts w:ascii="Times New Roman" w:hAnsi="Times New Roman" w:eastAsia="Times New Roman"/>
        </w:rPr>
        <w:t xml:space="preserve">200 </w:t>
      </w:r>
      <w:r>
        <w:rPr>
          <w:spacing w:val="-5"/>
        </w:rPr>
        <w:t xml:space="preserve">家企业落户，总投资超 </w:t>
      </w:r>
      <w:r>
        <w:rPr>
          <w:rFonts w:ascii="Times New Roman" w:hAnsi="Times New Roman" w:eastAsia="Times New Roman"/>
        </w:rPr>
        <w:t xml:space="preserve">800 </w:t>
      </w:r>
      <w:r>
        <w:t>亿元，元气森林、喜珍电路、希音等龙头企业带动产业链协同发展。</w:t>
      </w:r>
    </w:p>
    <w:p w14:paraId="1683468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20" w:lineRule="exact"/>
        <w:ind w:left="0" w:right="0" w:firstLine="640" w:firstLineChars="200"/>
        <w:jc w:val="both"/>
        <w:textAlignment w:val="auto"/>
      </w:pPr>
      <w:r>
        <w:t>鼎湖区（肇庆新区）作为粤港澳大湾区新兴价值洼地，商品房均</w:t>
      </w:r>
      <w:r>
        <w:rPr>
          <w:spacing w:val="-29"/>
        </w:rPr>
        <w:t xml:space="preserve">价仅 </w:t>
      </w:r>
      <w:r>
        <w:rPr>
          <w:rFonts w:ascii="Times New Roman" w:eastAsia="Times New Roman"/>
        </w:rPr>
        <w:t xml:space="preserve">5000-7000 </w:t>
      </w:r>
      <w:r>
        <w:t>元</w:t>
      </w:r>
      <w:r>
        <w:rPr>
          <w:rFonts w:ascii="Times New Roman" w:eastAsia="Times New Roman"/>
        </w:rPr>
        <w:t>/</w:t>
      </w:r>
      <w:r>
        <w:rPr>
          <w:rFonts w:hint="eastAsia" w:ascii="宋体" w:eastAsia="宋体"/>
        </w:rPr>
        <w:t>㎡</w:t>
      </w:r>
      <w:r>
        <w:rPr>
          <w:spacing w:val="-12"/>
        </w:rPr>
        <w:t>，显著低于广深佛等核心城市</w:t>
      </w:r>
      <w:r>
        <w:t>（</w:t>
      </w:r>
      <w:r>
        <w:rPr>
          <w:spacing w:val="-21"/>
        </w:rPr>
        <w:t xml:space="preserve">均价超 </w:t>
      </w:r>
      <w:r>
        <w:rPr>
          <w:rFonts w:ascii="Times New Roman" w:eastAsia="Times New Roman"/>
        </w:rPr>
        <w:t xml:space="preserve">3 </w:t>
      </w:r>
      <w:r>
        <w:t>万</w:t>
      </w:r>
      <w:r>
        <w:rPr>
          <w:rFonts w:ascii="Times New Roman" w:eastAsia="Times New Roman"/>
        </w:rPr>
        <w:t>/</w:t>
      </w:r>
      <w:r>
        <w:rPr>
          <w:rFonts w:hint="eastAsia" w:ascii="宋体" w:eastAsia="宋体"/>
        </w:rPr>
        <w:t>㎡</w:t>
      </w:r>
      <w:r>
        <w:rPr>
          <w:spacing w:val="-54"/>
        </w:rPr>
        <w:t xml:space="preserve">）， </w:t>
      </w:r>
      <w:r>
        <w:rPr>
          <w:spacing w:val="-8"/>
        </w:rPr>
        <w:t>是珠三角罕见的低价潜力区域，投资回报稳健，叠加大湾区战略红利， 未来升值空间广阔，是抢占湾区核心资产的优选地！</w:t>
      </w:r>
    </w:p>
    <w:p w14:paraId="5DDE5F8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20" w:lineRule="exact"/>
        <w:ind w:left="0" w:right="0" w:firstLine="639"/>
        <w:jc w:val="both"/>
        <w:textAlignment w:val="auto"/>
      </w:pPr>
      <w:r>
        <w:t>鼎湖区（肇庆新区）以</w:t>
      </w:r>
      <w:r>
        <w:rPr>
          <w:rFonts w:ascii="Times New Roman" w:hAnsi="Times New Roman" w:eastAsia="Times New Roman"/>
        </w:rPr>
        <w:t>“</w:t>
      </w:r>
      <w:r>
        <w:t>文旅融合</w:t>
      </w:r>
      <w:r>
        <w:rPr>
          <w:rFonts w:ascii="Times New Roman" w:hAnsi="Times New Roman" w:eastAsia="Times New Roman"/>
        </w:rPr>
        <w:t>”</w:t>
      </w:r>
      <w:r>
        <w:t>与</w:t>
      </w:r>
      <w:r>
        <w:rPr>
          <w:rFonts w:ascii="Times New Roman" w:hAnsi="Times New Roman" w:eastAsia="Times New Roman"/>
        </w:rPr>
        <w:t>“</w:t>
      </w:r>
      <w:r>
        <w:t>产城共生</w:t>
      </w:r>
      <w:r>
        <w:rPr>
          <w:rFonts w:ascii="Times New Roman" w:hAnsi="Times New Roman" w:eastAsia="Times New Roman"/>
        </w:rPr>
        <w:t>”</w:t>
      </w:r>
      <w:r>
        <w:t>为双引擎，正全力打造大湾区康养运动之城、低空经济示范区及全域旅游标杆。这里既有</w:t>
      </w:r>
      <w:r>
        <w:rPr>
          <w:rFonts w:ascii="Times New Roman" w:hAnsi="Times New Roman" w:eastAsia="Times New Roman"/>
        </w:rPr>
        <w:t>“</w:t>
      </w:r>
      <w:r>
        <w:t>负离子洗肺</w:t>
      </w:r>
      <w:r>
        <w:rPr>
          <w:rFonts w:ascii="Times New Roman" w:hAnsi="Times New Roman" w:eastAsia="Times New Roman"/>
        </w:rPr>
        <w:t>”</w:t>
      </w:r>
      <w:r>
        <w:t>的生态福祉，也有</w:t>
      </w:r>
      <w:r>
        <w:rPr>
          <w:rFonts w:ascii="Times New Roman" w:hAnsi="Times New Roman" w:eastAsia="Times New Roman"/>
        </w:rPr>
        <w:t>“</w:t>
      </w:r>
      <w:r>
        <w:t>硬联通</w:t>
      </w:r>
      <w:r>
        <w:rPr>
          <w:rFonts w:ascii="Times New Roman" w:hAnsi="Times New Roman" w:eastAsia="Times New Roman"/>
        </w:rPr>
        <w:t>”</w:t>
      </w:r>
      <w:r>
        <w:t>的产业机遇，诚邀全国投资者与居民共享山水之美，共筑繁荣未来。</w:t>
      </w:r>
    </w:p>
    <w:p w14:paraId="0B4392D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after="0" w:line="520" w:lineRule="exact"/>
        <w:ind w:left="0" w:right="0"/>
        <w:jc w:val="both"/>
        <w:textAlignment w:val="auto"/>
        <w:sectPr>
          <w:pgSz w:w="11910" w:h="16840"/>
          <w:pgMar w:top="1417" w:right="1134" w:bottom="1417" w:left="1134" w:header="720" w:footer="720" w:gutter="0"/>
          <w:cols w:space="720" w:num="1"/>
          <w:rtlGutter w:val="0"/>
          <w:docGrid w:linePitch="0" w:charSpace="0"/>
        </w:sectPr>
      </w:pPr>
    </w:p>
    <w:p w14:paraId="06083D2B">
      <w:pPr>
        <w:bidi w:val="0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肇庆鼎湖中学简介</w:t>
      </w:r>
    </w:p>
    <w:p w14:paraId="5D244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一、学校基本概况</w:t>
      </w:r>
    </w:p>
    <w:p w14:paraId="15041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default" w:ascii="Times New Roman" w:hAnsi="Times New Roman" w:eastAsia="仿宋_GB2312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肇庆鼎湖中学是肇庆市重点高中，广东省国家级示范性普通高中。学校创办于1991年，建校30多年来，在鼎湖区委、区政府和社会各界人士的大力支持下，在鼎湖中学历届师生的共同努力下，学校秉承“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创适合学生终身发展的教育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办学理念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办学规模不断扩大，教育教学实力不断增强，中高考成绩屡创新高，实现“低级高出，高进优出”的办学目标。2001年被评为“广东省绿色学校”，2005年被评为“广东省一级学校”，2008年12月以高分通过“广东省普通高中教学水平优秀学校”评估，2010年被评广东省安全文明校园，2011年通过“广东省国家级示范性普通高中”评估，2016年被评为肇庆市“依法治校示范学校”，并顺利通过省级评估，之后屡获殊荣。</w:t>
      </w:r>
    </w:p>
    <w:tbl>
      <w:tblPr>
        <w:tblStyle w:val="9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67E58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0" w:hRule="atLeast"/>
          <w:jc w:val="center"/>
        </w:trPr>
        <w:tc>
          <w:tcPr>
            <w:tcW w:w="9061" w:type="dxa"/>
            <w:tcBorders>
              <w:tl2br w:val="nil"/>
              <w:tr2bl w:val="nil"/>
            </w:tcBorders>
          </w:tcPr>
          <w:p w14:paraId="18F0E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612765" cy="3741420"/>
                  <wp:effectExtent l="0" t="0" r="6985" b="11430"/>
                  <wp:docPr id="17" name="图片 1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765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B4ED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1" w:type="dxa"/>
            <w:tcBorders>
              <w:tl2br w:val="nil"/>
              <w:tr2bl w:val="nil"/>
            </w:tcBorders>
          </w:tcPr>
          <w:p w14:paraId="4C5AE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孔子师徒群像</w:t>
            </w:r>
          </w:p>
        </w:tc>
      </w:tr>
    </w:tbl>
    <w:p w14:paraId="427F3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学校总占地约220亩，总建筑面积65164平方米，室外运动场地面积28811平方米，绿化用地面积16500平方米。学校现有60个教学班，其中高中部43个班，初中部18个班，在校学生共2980人，在岗专任教师226人，其中高级教师83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人。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6CB192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5" w:hRule="atLeast"/>
        </w:trPr>
        <w:tc>
          <w:tcPr>
            <w:tcW w:w="9061" w:type="dxa"/>
            <w:tcBorders>
              <w:tl2br w:val="nil"/>
              <w:tr2bl w:val="nil"/>
            </w:tcBorders>
          </w:tcPr>
          <w:p w14:paraId="3F1AC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614670" cy="3435985"/>
                  <wp:effectExtent l="0" t="0" r="5080" b="12065"/>
                  <wp:docPr id="18" name="图片 18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0" cy="343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1914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  <w:tcBorders>
              <w:tl2br w:val="nil"/>
              <w:tr2bl w:val="nil"/>
            </w:tcBorders>
          </w:tcPr>
          <w:p w14:paraId="3BCFC3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200" w:firstLineChars="15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校赋</w:t>
            </w:r>
          </w:p>
        </w:tc>
      </w:tr>
    </w:tbl>
    <w:p w14:paraId="5B339E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二、教师队伍建设概况</w:t>
      </w:r>
    </w:p>
    <w:p w14:paraId="02AEE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学校一直以来高度重视教师队伍建设工作，以创新机制、扩大规模、改善结构、提高质量为突破口，取得显著成效。学校现有1个省名班主任工作室，3个市名教师工作室和5个区名教师工作室，另外还有一大批老师先后被聘为骨干教师和工作室入室学员。近5年来，学校先后有104人次获得市、区优秀教师、优秀班主任、教学能手、师德标兵、优秀教育工作者等荣誉称号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0"/>
        <w:gridCol w:w="2940"/>
        <w:gridCol w:w="2911"/>
      </w:tblGrid>
      <w:tr w14:paraId="51B4D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5" w:hRule="atLeast"/>
        </w:trPr>
        <w:tc>
          <w:tcPr>
            <w:tcW w:w="3020" w:type="dxa"/>
            <w:tcBorders>
              <w:tl2br w:val="nil"/>
              <w:tr2bl w:val="nil"/>
            </w:tcBorders>
          </w:tcPr>
          <w:p w14:paraId="6F227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889125" cy="1645285"/>
                  <wp:effectExtent l="0" t="0" r="15875" b="12065"/>
                  <wp:docPr id="19" name="图片 19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tcBorders>
              <w:tl2br w:val="nil"/>
              <w:tr2bl w:val="nil"/>
            </w:tcBorders>
          </w:tcPr>
          <w:p w14:paraId="73F99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717040" cy="1716405"/>
                  <wp:effectExtent l="0" t="0" r="16510" b="17145"/>
                  <wp:docPr id="20" name="图片 20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tcBorders>
              <w:tl2br w:val="nil"/>
              <w:tr2bl w:val="nil"/>
            </w:tcBorders>
          </w:tcPr>
          <w:p w14:paraId="1B416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703705" cy="1738630"/>
                  <wp:effectExtent l="0" t="0" r="10795" b="13970"/>
                  <wp:docPr id="21" name="图片 21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8BF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9061" w:type="dxa"/>
            <w:gridSpan w:val="3"/>
            <w:tcBorders>
              <w:tl2br w:val="nil"/>
              <w:tr2bl w:val="nil"/>
            </w:tcBorders>
          </w:tcPr>
          <w:p w14:paraId="222CC4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3080" w:firstLineChars="11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部分名师工作室牌匾</w:t>
            </w:r>
          </w:p>
        </w:tc>
      </w:tr>
    </w:tbl>
    <w:p w14:paraId="37F1D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学校也十分重视教师队伍结构全面优化。近年来，学校吸引了一大批来自华南师范大学、湖南师范大学、哈尔滨师范大学、西北师范大学、广西师范大学、江西师范大学等国内重点高校毕业的研究生和本科生来校任教，极大地促进了教师队伍素质的提升。</w:t>
      </w:r>
    </w:p>
    <w:p w14:paraId="1101C3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三、办学亮点与特色做法</w:t>
      </w:r>
    </w:p>
    <w:p w14:paraId="6BA634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学校坚持“立志担当·修德崇实”的校训，团结进取·守正创新的校风，敬业爱生·严谨奉献的教风，勤奋自主·尚美求真的学风。学校围绕五育并举、五育互育、合理育人的发展目标，坚持“适性扬才，全面发展”的育人理念和“鼎中精神，国际视野，中国脊梁”的育人目标，着力打造内涵发展、跨越发展的初高中优质名校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3527A3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45" w:hRule="atLeast"/>
        </w:trPr>
        <w:tc>
          <w:tcPr>
            <w:tcW w:w="9061" w:type="dxa"/>
            <w:tcBorders>
              <w:tl2br w:val="nil"/>
              <w:tr2bl w:val="nil"/>
            </w:tcBorders>
          </w:tcPr>
          <w:p w14:paraId="1AB174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614035" cy="3740785"/>
                  <wp:effectExtent l="0" t="0" r="5715" b="12065"/>
                  <wp:docPr id="22" name="图片 22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035" cy="374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4F53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  <w:tcBorders>
              <w:tl2br w:val="nil"/>
              <w:tr2bl w:val="nil"/>
            </w:tcBorders>
          </w:tcPr>
          <w:p w14:paraId="76B9BD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3920" w:firstLineChars="1400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高中成人礼</w:t>
            </w:r>
          </w:p>
        </w:tc>
      </w:tr>
    </w:tbl>
    <w:p w14:paraId="5C1813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四、特色课堂</w:t>
      </w:r>
    </w:p>
    <w:p w14:paraId="09802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52" w:firstLineChars="204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肇庆鼎湖中学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围绕高质量发展理念和目标，致力于推动教育科研的高质量发展，主要从以下几个方面入手：一是开发和完善校本课程体系，监督和落实校本课程开设，确保起到校本课程高质量育人；二是精心组织体育科技节和文化艺术节，给学生提供形式多样的舞台，达到全方位高质量育人；三是做好教师论文、课题和教学研究工作，提升教师教育教学水平，促进全员高质量育人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3CBADA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0" w:hRule="atLeast"/>
        </w:trPr>
        <w:tc>
          <w:tcPr>
            <w:tcW w:w="9061" w:type="dxa"/>
            <w:tcBorders>
              <w:tl2br w:val="nil"/>
              <w:tr2bl w:val="nil"/>
            </w:tcBorders>
          </w:tcPr>
          <w:p w14:paraId="09A91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3742690" cy="2860675"/>
                  <wp:effectExtent l="0" t="0" r="10160" b="15875"/>
                  <wp:docPr id="23" name="图片 23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690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E21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  <w:tcBorders>
              <w:tl2br w:val="nil"/>
              <w:tr2bl w:val="nil"/>
            </w:tcBorders>
          </w:tcPr>
          <w:p w14:paraId="7DB48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280" w:firstLineChars="100"/>
              <w:textAlignment w:val="auto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  <w:t>2024年4月25日，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本校</w:t>
            </w:r>
            <w:r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  <w:t>陈玉桂老师到新疆喀什大学附属中学送教</w:t>
            </w:r>
          </w:p>
        </w:tc>
      </w:tr>
    </w:tbl>
    <w:p w14:paraId="2E86F7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五、教育教学活动及成果</w:t>
      </w:r>
    </w:p>
    <w:p w14:paraId="71175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我校严格贯彻教育部《关于全面深化课程改革，落实立德树人根本任务的意见》和国家“双减政策”精神，以人为本，因材施教，全面培养学生的德、智、体、美、劳五个方面的发展，以实现学生的全面发展和综合素质的提升。学校每学期组织各年级师生开展篮球赛、足球赛、羽毛球赛等运动项目比赛，大力发展学生各种社团活动如醒狮社、街舞社、动漫社等等，每年举行运动科技节、元旦晚会等活动丰富师生的校园生活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2"/>
        <w:gridCol w:w="23"/>
        <w:gridCol w:w="4486"/>
      </w:tblGrid>
      <w:tr w14:paraId="6BA82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5" w:hRule="atLeast"/>
        </w:trPr>
        <w:tc>
          <w:tcPr>
            <w:tcW w:w="4575" w:type="dxa"/>
            <w:gridSpan w:val="2"/>
            <w:tcBorders>
              <w:tl2br w:val="nil"/>
              <w:tr2bl w:val="nil"/>
            </w:tcBorders>
          </w:tcPr>
          <w:p w14:paraId="0294D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151380"/>
                  <wp:effectExtent l="0" t="0" r="10795" b="1270"/>
                  <wp:docPr id="24" name="图片 24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tcBorders>
              <w:tl2br w:val="nil"/>
              <w:tr2bl w:val="nil"/>
            </w:tcBorders>
          </w:tcPr>
          <w:p w14:paraId="14D98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33040" cy="2152015"/>
                  <wp:effectExtent l="0" t="0" r="10160" b="635"/>
                  <wp:docPr id="25" name="图片 25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464D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5" w:type="dxa"/>
            <w:gridSpan w:val="2"/>
            <w:tcBorders>
              <w:bottom w:val="nil"/>
              <w:tl2br w:val="nil"/>
              <w:tr2bl w:val="nil"/>
            </w:tcBorders>
          </w:tcPr>
          <w:p w14:paraId="09371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文化艺术节开幕式校长发言</w:t>
            </w:r>
          </w:p>
        </w:tc>
        <w:tc>
          <w:tcPr>
            <w:tcW w:w="4486" w:type="dxa"/>
            <w:tcBorders>
              <w:bottom w:val="nil"/>
              <w:tl2br w:val="nil"/>
              <w:tr2bl w:val="nil"/>
            </w:tcBorders>
          </w:tcPr>
          <w:p w14:paraId="7BF97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文化艺术节闭幕式</w:t>
            </w:r>
          </w:p>
        </w:tc>
      </w:tr>
      <w:tr w14:paraId="5D325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3" w:hRule="atLeast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4D4E12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1784985"/>
                  <wp:effectExtent l="0" t="0" r="1270" b="5715"/>
                  <wp:docPr id="26" name="图片 26" descr="图片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图片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81E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22880" cy="1851660"/>
                  <wp:effectExtent l="0" t="0" r="1270" b="15240"/>
                  <wp:docPr id="27" name="图片 27" descr="图片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图片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999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0F4F6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71" w:firstLineChars="204"/>
              <w:jc w:val="center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学生军训</w:t>
            </w:r>
          </w:p>
        </w:tc>
        <w:tc>
          <w:tcPr>
            <w:tcW w:w="4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12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红歌比赛</w:t>
            </w:r>
          </w:p>
        </w:tc>
      </w:tr>
      <w:tr w14:paraId="0A77F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0" w:hRule="atLeast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12D05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53360" cy="1892935"/>
                  <wp:effectExtent l="0" t="0" r="8890" b="12065"/>
                  <wp:docPr id="28" name="图片 28" descr="图片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图片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E3C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24150" cy="1903095"/>
                  <wp:effectExtent l="0" t="0" r="0" b="1905"/>
                  <wp:docPr id="29" name="图片 29" descr="图片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片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A4C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</w:tcPr>
          <w:p w14:paraId="0EE25C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球类比赛</w:t>
            </w:r>
          </w:p>
        </w:tc>
        <w:tc>
          <w:tcPr>
            <w:tcW w:w="4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1D7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跑操</w:t>
            </w:r>
          </w:p>
        </w:tc>
      </w:tr>
    </w:tbl>
    <w:p w14:paraId="5CD84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3A0E3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教师可以参加省、市、区级的自行车骑行协会、文学协会、书法协会等各类区内的体育、文艺社团，业余生活丰富多彩。</w:t>
      </w:r>
    </w:p>
    <w:p w14:paraId="39F14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六、给新教师的承诺</w:t>
      </w:r>
    </w:p>
    <w:p w14:paraId="65E657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欢迎广大优秀高校毕业生报考本校教师岗位，学校地处在鼎湖区城区中心，交通便利，设有教师工作间和A级食堂、图书馆、体育馆等工作、生活设施，条件完备，秉承“共生互赢，进步发展”的教师发展理念和体制，有“青蓝工程”的保障体系促使新教师个人。</w:t>
      </w:r>
    </w:p>
    <w:p w14:paraId="51A880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5B387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7E57B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8889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699919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 w14:paraId="315264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肇庆学院广利实验中学</w:t>
      </w:r>
    </w:p>
    <w:p w14:paraId="0220AC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（肇庆市鼎湖区广利高级中学）</w:t>
      </w:r>
    </w:p>
    <w:p w14:paraId="54959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 w14:paraId="0D8746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一、学校基本概况</w:t>
      </w:r>
    </w:p>
    <w:p w14:paraId="1194EF2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right="0" w:firstLine="604" w:firstLineChars="200"/>
        <w:jc w:val="both"/>
        <w:textAlignment w:val="auto"/>
        <w:outlineLvl w:val="9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9"/>
          <w:lang w:val="en-US" w:eastAsia="zh-CN"/>
        </w:rPr>
        <w:t>肇庆学院广利实验中学（肇庆市鼎湖区广利高级中学）</w:t>
      </w:r>
      <w:r>
        <w:rPr>
          <w:rFonts w:hint="default" w:ascii="Times New Roman" w:hAnsi="Times New Roman" w:cs="Times New Roman"/>
          <w:spacing w:val="-9"/>
        </w:rPr>
        <w:t xml:space="preserve">创办于 </w:t>
      </w:r>
      <w:r>
        <w:rPr>
          <w:rFonts w:hint="default" w:ascii="Times New Roman" w:hAnsi="Times New Roman" w:cs="Times New Roman"/>
        </w:rPr>
        <w:t>1956</w:t>
      </w:r>
      <w:r>
        <w:rPr>
          <w:rFonts w:hint="default" w:ascii="Times New Roman" w:hAnsi="Times New Roman" w:cs="Times New Roman"/>
          <w:spacing w:val="-13"/>
        </w:rPr>
        <w:t xml:space="preserve"> 年，位于鼎湖区广利办事处新</w:t>
      </w:r>
      <w:r>
        <w:rPr>
          <w:rFonts w:hint="default" w:ascii="Times New Roman" w:hAnsi="Times New Roman" w:cs="Times New Roman"/>
          <w:spacing w:val="-37"/>
        </w:rPr>
        <w:t xml:space="preserve">广路 </w:t>
      </w:r>
      <w:r>
        <w:rPr>
          <w:rFonts w:hint="default" w:ascii="Times New Roman" w:hAnsi="Times New Roman" w:cs="Times New Roman"/>
        </w:rPr>
        <w:t>82</w:t>
      </w:r>
      <w:r>
        <w:rPr>
          <w:rFonts w:hint="default" w:ascii="Times New Roman" w:hAnsi="Times New Roman" w:cs="Times New Roman"/>
          <w:spacing w:val="-19"/>
        </w:rPr>
        <w:t xml:space="preserve"> 号</w:t>
      </w:r>
      <w:r>
        <w:rPr>
          <w:rFonts w:hint="default" w:ascii="Times New Roman" w:hAnsi="Times New Roman" w:cs="Times New Roman"/>
          <w:spacing w:val="-19"/>
          <w:lang w:eastAsia="zh-CN"/>
        </w:rPr>
        <w:t>。</w:t>
      </w:r>
      <w:r>
        <w:rPr>
          <w:rFonts w:hint="default" w:ascii="Times New Roman" w:hAnsi="Times New Roman" w:cs="Times New Roman"/>
          <w:spacing w:val="-9"/>
          <w:lang w:val="en-US" w:eastAsia="zh-CN"/>
        </w:rPr>
        <w:t>前身是原高要县重点中学——广利中学。学校历经三易校址、四次转型：从完全中学改制为普通高中，再到职业中学，1998年起实行综合高中办学模式（含职中班与普通高中班）；2010年停办职中，专注普高教育；2025年7月学校由肇庆学院帮扶性托管，加挂肇庆学院广利实验中学，成立政校协调机构，派驻校长和学科专家团队。</w:t>
      </w:r>
      <w:r>
        <w:rPr>
          <w:rFonts w:hint="default" w:ascii="Times New Roman" w:hAnsi="Times New Roman" w:cs="Times New Roman"/>
          <w:spacing w:val="-19"/>
        </w:rPr>
        <w:t xml:space="preserve">周边交通发达、生活便利、环境优美。步行到 </w:t>
      </w:r>
      <w:r>
        <w:rPr>
          <w:rFonts w:hint="default" w:ascii="Times New Roman" w:hAnsi="Times New Roman" w:cs="Times New Roman"/>
        </w:rPr>
        <w:t xml:space="preserve">3A </w:t>
      </w:r>
      <w:r>
        <w:rPr>
          <w:rFonts w:hint="default" w:ascii="Times New Roman" w:hAnsi="Times New Roman" w:cs="Times New Roman"/>
          <w:spacing w:val="-6"/>
        </w:rPr>
        <w:t xml:space="preserve">级景区砚阳湖仅需 </w:t>
      </w:r>
      <w:r>
        <w:rPr>
          <w:rFonts w:hint="default" w:ascii="Times New Roman" w:hAnsi="Times New Roman" w:cs="Times New Roman"/>
        </w:rPr>
        <w:t>7</w:t>
      </w:r>
      <w:r>
        <w:rPr>
          <w:rFonts w:hint="default" w:ascii="Times New Roman" w:hAnsi="Times New Roman" w:cs="Times New Roman"/>
          <w:spacing w:val="-10"/>
        </w:rPr>
        <w:t xml:space="preserve"> 分钟，到肇庆新区体育中心只有 </w:t>
      </w:r>
      <w:r>
        <w:rPr>
          <w:rFonts w:hint="default" w:ascii="Times New Roman" w:hAnsi="Times New Roman" w:cs="Times New Roman"/>
        </w:rPr>
        <w:t>2.5</w:t>
      </w:r>
      <w:r>
        <w:rPr>
          <w:rFonts w:hint="default" w:ascii="Times New Roman" w:hAnsi="Times New Roman" w:cs="Times New Roman"/>
          <w:spacing w:val="-42"/>
        </w:rPr>
        <w:t xml:space="preserve"> 千</w:t>
      </w:r>
      <w:r>
        <w:rPr>
          <w:rFonts w:hint="default" w:ascii="Times New Roman" w:hAnsi="Times New Roman" w:cs="Times New Roman"/>
        </w:rPr>
        <w:t>米，乘车到肇庆东站（高铁站）仅需 10 分钟。校园占地面积40 亩，建筑面积 16882 平方米。拥有 24 个教学班，在校学生</w:t>
      </w:r>
      <w:r>
        <w:rPr>
          <w:rFonts w:hint="default" w:ascii="Times New Roman" w:hAnsi="Times New Roman" w:cs="Times New Roman"/>
          <w:lang w:val="en-US" w:eastAsia="zh-CN"/>
        </w:rPr>
        <w:t>约</w:t>
      </w:r>
      <w:r>
        <w:rPr>
          <w:rFonts w:hint="default" w:ascii="Times New Roman" w:hAnsi="Times New Roman" w:cs="Times New Roman"/>
        </w:rPr>
        <w:t>1200 人。</w:t>
      </w:r>
    </w:p>
    <w:p w14:paraId="24C8BDF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0" w:right="0" w:firstLine="640" w:firstLineChars="200"/>
        <w:jc w:val="both"/>
        <w:textAlignment w:val="auto"/>
        <w:outlineLvl w:val="9"/>
        <w:rPr>
          <w:rFonts w:hint="default" w:ascii="Times New Roman" w:hAnsi="Times New Roman" w:cs="Times New Roman"/>
        </w:rPr>
      </w:pPr>
    </w:p>
    <w:tbl>
      <w:tblPr>
        <w:tblStyle w:val="9"/>
        <w:tblW w:w="85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6"/>
        <w:gridCol w:w="3983"/>
      </w:tblGrid>
      <w:tr w14:paraId="754B4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3" w:hRule="exact"/>
          <w:jc w:val="center"/>
        </w:trPr>
        <w:tc>
          <w:tcPr>
            <w:tcW w:w="4556" w:type="dxa"/>
            <w:tcBorders>
              <w:tl2br w:val="nil"/>
              <w:tr2bl w:val="nil"/>
            </w:tcBorders>
            <w:vAlign w:val="top"/>
          </w:tcPr>
          <w:p w14:paraId="413FF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-635</wp:posOffset>
                  </wp:positionV>
                  <wp:extent cx="2837815" cy="1625600"/>
                  <wp:effectExtent l="0" t="0" r="635" b="12700"/>
                  <wp:wrapSquare wrapText="bothSides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15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3" w:type="dxa"/>
            <w:tcBorders>
              <w:tl2br w:val="nil"/>
              <w:tr2bl w:val="nil"/>
            </w:tcBorders>
            <w:vAlign w:val="top"/>
          </w:tcPr>
          <w:p w14:paraId="72731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28575</wp:posOffset>
                  </wp:positionV>
                  <wp:extent cx="2479040" cy="1614805"/>
                  <wp:effectExtent l="0" t="0" r="16510" b="4445"/>
                  <wp:wrapSquare wrapText="bothSides"/>
                  <wp:docPr id="13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83DF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4556" w:type="dxa"/>
            <w:tcBorders>
              <w:tl2br w:val="nil"/>
              <w:tr2bl w:val="nil"/>
            </w:tcBorders>
            <w:vAlign w:val="top"/>
          </w:tcPr>
          <w:p w14:paraId="05D44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Times New Roman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砚阳湖景区</w:t>
            </w:r>
          </w:p>
        </w:tc>
        <w:tc>
          <w:tcPr>
            <w:tcW w:w="3983" w:type="dxa"/>
            <w:tcBorders>
              <w:tl2br w:val="nil"/>
              <w:tr2bl w:val="nil"/>
            </w:tcBorders>
            <w:vAlign w:val="top"/>
          </w:tcPr>
          <w:p w14:paraId="189C30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Times New Roman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新区体育中心夜景</w:t>
            </w:r>
          </w:p>
        </w:tc>
      </w:tr>
    </w:tbl>
    <w:p w14:paraId="6734E1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420" w:leftChars="2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312E9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420" w:leftChars="2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环境优美，教学设施设备配套齐全，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每间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课室配置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多媒体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教学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平台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和空调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学生宿舍安装有空调，24小时供应热水，住宿条件舒适。学校有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两幢综合实验楼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分布有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科学实验室、美术室、音乐室、舞蹈室、钢琴室、电脑室、图书室、阅览室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心理辅导室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等功能场室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满足了教育教学的需要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  <w:t>。</w:t>
      </w:r>
    </w:p>
    <w:p w14:paraId="03F06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420" w:leftChars="2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</w:p>
    <w:tbl>
      <w:tblPr>
        <w:tblStyle w:val="9"/>
        <w:tblW w:w="855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7"/>
        <w:gridCol w:w="3992"/>
      </w:tblGrid>
      <w:tr w14:paraId="4542DB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exact"/>
          <w:jc w:val="center"/>
        </w:trPr>
        <w:tc>
          <w:tcPr>
            <w:tcW w:w="4567" w:type="dxa"/>
            <w:tcBorders>
              <w:tl2br w:val="nil"/>
              <w:tr2bl w:val="nil"/>
            </w:tcBorders>
            <w:vAlign w:val="top"/>
          </w:tcPr>
          <w:p w14:paraId="038D2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12700</wp:posOffset>
                  </wp:positionV>
                  <wp:extent cx="2830195" cy="1614170"/>
                  <wp:effectExtent l="0" t="0" r="8255" b="5080"/>
                  <wp:wrapTight wrapText="bothSides">
                    <wp:wrapPolygon>
                      <wp:start x="0" y="0"/>
                      <wp:lineTo x="0" y="21413"/>
                      <wp:lineTo x="21518" y="21413"/>
                      <wp:lineTo x="21518" y="0"/>
                      <wp:lineTo x="0" y="0"/>
                    </wp:wrapPolygon>
                  </wp:wrapTight>
                  <wp:docPr id="4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92" w:type="dxa"/>
            <w:tcBorders>
              <w:tl2br w:val="nil"/>
              <w:tr2bl w:val="nil"/>
            </w:tcBorders>
            <w:vAlign w:val="top"/>
          </w:tcPr>
          <w:p w14:paraId="1FEAB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hAnsi="宋体" w:eastAsia="仿宋_GB2312" w:cs="Times New Roman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2534285" cy="1608455"/>
                  <wp:effectExtent l="0" t="0" r="18415" b="10795"/>
                  <wp:wrapSquare wrapText="bothSides"/>
                  <wp:docPr id="5" name="图片 1" descr="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好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703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4567" w:type="dxa"/>
            <w:tcBorders>
              <w:tl2br w:val="nil"/>
              <w:tr2bl w:val="nil"/>
            </w:tcBorders>
            <w:vAlign w:val="top"/>
          </w:tcPr>
          <w:p w14:paraId="6E893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Times New Roman"/>
                <w:sz w:val="32"/>
                <w:szCs w:val="32"/>
                <w:lang w:val="en-US" w:eastAsia="zh-CN"/>
              </w:rPr>
              <w:t>优美的校道</w:t>
            </w:r>
          </w:p>
        </w:tc>
        <w:tc>
          <w:tcPr>
            <w:tcW w:w="3992" w:type="dxa"/>
            <w:tcBorders>
              <w:tl2br w:val="nil"/>
              <w:tr2bl w:val="nil"/>
            </w:tcBorders>
            <w:vAlign w:val="top"/>
          </w:tcPr>
          <w:p w14:paraId="752A1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Times New Roman"/>
                <w:sz w:val="32"/>
                <w:szCs w:val="32"/>
                <w:lang w:val="en-US" w:eastAsia="zh-CN"/>
              </w:rPr>
              <w:t>现代化的教学楼</w:t>
            </w:r>
          </w:p>
        </w:tc>
      </w:tr>
    </w:tbl>
    <w:p w14:paraId="727369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399988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二、教师队伍建设成效</w:t>
      </w:r>
    </w:p>
    <w:p w14:paraId="67B6CD41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u w:val="none"/>
          <w:lang w:val="en-US" w:eastAsia="zh-CN" w:bidi="ar-SA"/>
        </w:rPr>
        <w:t>目前，在编专任教师83人，来自全国各地，均具备本科及以上学历，其中正高级教师和高级及教师26位，硕士学位获得者19位，中青年骨干教师近50人，一批批肇庆市“百万英才汇南粤”引进的青年才俊不断充实学校教育力量。</w:t>
      </w:r>
    </w:p>
    <w:p w14:paraId="011F5B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u w:val="none"/>
          <w:lang w:val="en-US" w:eastAsia="zh-CN" w:bidi="ar-SA"/>
        </w:rPr>
        <w:t>学校曾荣获中国地理学会“地理科普教育先进单位”“广东省健康促进学校”“肇庆市德育示范学校”和肇庆市“五四红旗团委”等称号。近年来，学校艺体教育有特色，教育质量稳步提升，高考成绩取得重大突破。为全面提升办学品质，进一步做强体艺特色，学校将在区委区政府坚强领导和政策支持下，紧抓肇庆学院帮扶托管历史性机遇，依托肇庆学院专家团队精准指导与无私支持，全力完善五育并举，致力于推进学校强基固本、塑品提质和内涵发展；建立起广中特色的办学思想及其操作系统，构建起名师梯级成长通道、适性课程体系、校训德育机制、生·活课堂范式、三步三环三案集备制度、家长学校与家校共育模式和精致精彩的校园生活方式，致力于实现学生健全发展、适性扬才、人人出彩；借力肇庆学院在名师培养、艺体教育、教育科研方面强大的实力和优质平台资源，创新体育、美术、音乐教育模式，创建艺体特色品牌，全面提升教师教育教学能力与科研水平，奋力实现育人质量与办学品质的跨越式提升。</w:t>
      </w:r>
    </w:p>
    <w:p w14:paraId="6B92C1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  <w:t>三、办学亮点与特色做法</w:t>
      </w:r>
    </w:p>
    <w:p w14:paraId="058A7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学校秉承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“广纳英才、利乐人生”的办学理念，坚守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既为“经师”，更为“人师”的教育初心，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实行“分线管理、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年级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落实”的管理模式，坚持依法治校、以德育人，坚持以质量立校，狠抓教学常规管理。学校先后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获得“广东省健康促进学校”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“肇庆市教书育人先进集体”“肇庆市语言规范化示范校”“肇庆市五四红旗团委”“肇庆市德育示范学校”、“鼎湖区教学工作质量先进单位”“鼎湖区教书育人先进集体”等荣誉称号。</w:t>
      </w:r>
    </w:p>
    <w:p w14:paraId="7036C7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</w:p>
    <w:tbl>
      <w:tblPr>
        <w:tblStyle w:val="9"/>
        <w:tblW w:w="847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4"/>
        <w:gridCol w:w="3955"/>
      </w:tblGrid>
      <w:tr w14:paraId="31DBC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exact"/>
          <w:jc w:val="center"/>
        </w:trPr>
        <w:tc>
          <w:tcPr>
            <w:tcW w:w="4524" w:type="dxa"/>
            <w:tcBorders>
              <w:tl2br w:val="nil"/>
              <w:tr2bl w:val="nil"/>
            </w:tcBorders>
            <w:vAlign w:val="top"/>
          </w:tcPr>
          <w:p w14:paraId="2BEDC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18415</wp:posOffset>
                  </wp:positionV>
                  <wp:extent cx="2752725" cy="1534795"/>
                  <wp:effectExtent l="0" t="0" r="9525" b="8255"/>
                  <wp:wrapSquare wrapText="bothSides"/>
                  <wp:docPr id="2" name="图片 2" descr="微信图片_2024111914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11191418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55" w:type="dxa"/>
            <w:tcBorders>
              <w:tl2br w:val="nil"/>
              <w:tr2bl w:val="nil"/>
            </w:tcBorders>
            <w:vAlign w:val="top"/>
          </w:tcPr>
          <w:p w14:paraId="2FE3F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29845</wp:posOffset>
                  </wp:positionV>
                  <wp:extent cx="2458720" cy="1564005"/>
                  <wp:effectExtent l="0" t="0" r="17780" b="17145"/>
                  <wp:wrapSquare wrapText="bothSides"/>
                  <wp:docPr id="6" name="图片 6" descr="微信图片_2024111914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11191418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F817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4524" w:type="dxa"/>
            <w:tcBorders>
              <w:tl2br w:val="nil"/>
              <w:tr2bl w:val="nil"/>
            </w:tcBorders>
            <w:vAlign w:val="top"/>
          </w:tcPr>
          <w:p w14:paraId="6EC4E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广东省健康促进学校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vAlign w:val="top"/>
          </w:tcPr>
          <w:p w14:paraId="3F377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肇庆市五四红旗团委</w:t>
            </w:r>
          </w:p>
        </w:tc>
      </w:tr>
    </w:tbl>
    <w:p w14:paraId="758F99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四、特色课堂</w:t>
      </w:r>
    </w:p>
    <w:p w14:paraId="05676B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学校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开设了多样化的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特色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课程，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突出个性化教育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音乐课程中开设了合唱、钢琴、架子鼓、竹笛、舞蹈、大提琴、萨克斯、古筝等乐器课程。美术课程中开设了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instrText xml:space="preserve"> HYPERLINK "https://baike.baidu.com/item/%E7%B4%A0%E6%8F%8F?fromModule=lemma_inlink" \t "https://baike.baidu.com/item/%E7%BE%8E%E6%9C%AF%E9%AB%98%E8%80%83/_blank" </w:instrTex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素描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instrText xml:space="preserve"> HYPERLINK "https://baike.baidu.com/item/%E9%80%9F%E5%86%99?fromModule=lemma_inlink" \t "https://baike.baidu.com/item/%E7%BE%8E%E6%9C%AF%E9%AB%98%E8%80%83/_blank" </w:instrTex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速写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、色彩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油画、手工、动漫等。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学校为学生提供了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丰富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的体育项目，如足球、篮球、乒乓球、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羽毛球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等。</w:t>
      </w:r>
    </w:p>
    <w:p w14:paraId="54348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</w:p>
    <w:tbl>
      <w:tblPr>
        <w:tblStyle w:val="9"/>
        <w:tblW w:w="8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0"/>
        <w:gridCol w:w="4240"/>
      </w:tblGrid>
      <w:tr w14:paraId="78566A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1" w:hRule="exact"/>
        </w:trPr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195A9B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2593340" cy="1229360"/>
                  <wp:effectExtent l="0" t="0" r="16510" b="8890"/>
                  <wp:wrapSquare wrapText="bothSides"/>
                  <wp:docPr id="3" name="图片 3" descr="微信图片_2024111912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111912320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720CDC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17780</wp:posOffset>
                  </wp:positionV>
                  <wp:extent cx="2581910" cy="1238250"/>
                  <wp:effectExtent l="0" t="0" r="8890" b="0"/>
                  <wp:wrapSquare wrapText="bothSides"/>
                  <wp:docPr id="7" name="图片 3" descr="be9fd8f741624eb29d4dfb533a90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be9fd8f741624eb29d4dfb533a90d0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91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03B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5A551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color w:val="0000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学生美术作品展</w:t>
            </w:r>
          </w:p>
        </w:tc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7130B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color w:val="0000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学生在进行竹笛合奏</w:t>
            </w:r>
          </w:p>
        </w:tc>
      </w:tr>
      <w:tr w14:paraId="28779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exact"/>
        </w:trPr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0FD3C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3810</wp:posOffset>
                  </wp:positionV>
                  <wp:extent cx="2650490" cy="1439545"/>
                  <wp:effectExtent l="0" t="0" r="16510" b="8255"/>
                  <wp:wrapSquare wrapText="bothSides"/>
                  <wp:docPr id="8" name="图片 8" descr="微信图片_202411111312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111113125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76E04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38100</wp:posOffset>
                  </wp:positionV>
                  <wp:extent cx="2611755" cy="1409065"/>
                  <wp:effectExtent l="0" t="0" r="17145" b="635"/>
                  <wp:wrapSquare wrapText="bothSides"/>
                  <wp:docPr id="9" name="图片 9" descr="3ec8ee468b8efecdb66ac66b75a5f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ec8ee468b8efecdb66ac66b75a5f6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75D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472FBE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宋体" w:eastAsia="仿宋_GB2312" w:cs="Times New Roman"/>
                <w:sz w:val="32"/>
                <w:szCs w:val="32"/>
                <w:lang w:val="en-US" w:eastAsia="zh-CN"/>
              </w:rPr>
              <w:t>学生在上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篮球课</w:t>
            </w:r>
          </w:p>
        </w:tc>
        <w:tc>
          <w:tcPr>
            <w:tcW w:w="4240" w:type="dxa"/>
            <w:tcBorders>
              <w:tl2br w:val="nil"/>
              <w:tr2bl w:val="nil"/>
            </w:tcBorders>
            <w:vAlign w:val="top"/>
          </w:tcPr>
          <w:p w14:paraId="060E1B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舞台剧表演</w:t>
            </w:r>
          </w:p>
        </w:tc>
      </w:tr>
    </w:tbl>
    <w:p w14:paraId="4CACDA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658E1A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五、教育教学活动及成果</w:t>
      </w:r>
    </w:p>
    <w:p w14:paraId="3FCCA1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我校学生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努力向上、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积极参加各项集体活动并荣获优异成绩，如：在2024年肇庆市鼎湖区第八届中小学生艺术展演（高中组）艺术表演类一等奖；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2023年鼎湖区学生引体向上锦标赛高中组第二名；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2022-2023学年鼎湖区中小学教学质量综合评价一等奖；</w:t>
      </w:r>
    </w:p>
    <w:tbl>
      <w:tblPr>
        <w:tblStyle w:val="9"/>
        <w:tblW w:w="85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0"/>
        <w:gridCol w:w="4280"/>
      </w:tblGrid>
      <w:tr w14:paraId="7CE4F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6" w:hRule="exact"/>
          <w:jc w:val="center"/>
        </w:trPr>
        <w:tc>
          <w:tcPr>
            <w:tcW w:w="4280" w:type="dxa"/>
            <w:tcBorders>
              <w:tl2br w:val="nil"/>
              <w:tr2bl w:val="nil"/>
            </w:tcBorders>
            <w:vAlign w:val="top"/>
          </w:tcPr>
          <w:p w14:paraId="5A93C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-1700530</wp:posOffset>
                  </wp:positionV>
                  <wp:extent cx="2548890" cy="1530350"/>
                  <wp:effectExtent l="0" t="0" r="3810" b="12700"/>
                  <wp:wrapSquare wrapText="bothSides"/>
                  <wp:docPr id="33" name="图片 33" descr="微信图片_2024111913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41119132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0" w:type="dxa"/>
            <w:tcBorders>
              <w:tl2br w:val="nil"/>
              <w:tr2bl w:val="nil"/>
            </w:tcBorders>
            <w:vAlign w:val="top"/>
          </w:tcPr>
          <w:p w14:paraId="5BAF5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-1700530</wp:posOffset>
                  </wp:positionV>
                  <wp:extent cx="2560320" cy="1558925"/>
                  <wp:effectExtent l="0" t="0" r="11430" b="3175"/>
                  <wp:wrapSquare wrapText="bothSides"/>
                  <wp:docPr id="31" name="图片 31" descr="微信图片_20241119123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411191234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2BE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4280" w:type="dxa"/>
            <w:tcBorders>
              <w:tl2br w:val="nil"/>
              <w:tr2bl w:val="nil"/>
            </w:tcBorders>
            <w:vAlign w:val="top"/>
          </w:tcPr>
          <w:p w14:paraId="188F0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color w:val="0000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 w:themeColor="text1"/>
                <w:kern w:val="0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艺术展演一等奖</w:t>
            </w:r>
          </w:p>
        </w:tc>
        <w:tc>
          <w:tcPr>
            <w:tcW w:w="4280" w:type="dxa"/>
            <w:tcBorders>
              <w:tl2br w:val="nil"/>
              <w:tr2bl w:val="nil"/>
            </w:tcBorders>
            <w:vAlign w:val="top"/>
          </w:tcPr>
          <w:p w14:paraId="52650E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outlineLvl w:val="9"/>
              <w:rPr>
                <w:rFonts w:hint="default" w:ascii="仿宋_GB2312" w:hAnsi="仿宋_GB2312" w:eastAsia="仿宋_GB2312" w:cs="仿宋_GB2312"/>
                <w:color w:val="0000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“三独”比赛优秀组织奖</w:t>
            </w:r>
          </w:p>
        </w:tc>
      </w:tr>
    </w:tbl>
    <w:p w14:paraId="705F10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38BC69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20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六、给新教师的承诺</w:t>
      </w:r>
    </w:p>
    <w:p w14:paraId="619F1F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20" w:leftChars="20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学校为每位教师免费提供独立、舒适的宿舍，并配置有基本的生活用品（如床、空调、电热水器、饮水机、水桶、风扇等）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学校一贯以来都非常注重青年教师的专业成长。通过开展青蓝工程、校本研究、组织教师参加校外培训等活动，多途径促进青年教师的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专业水平、创新能力和综合素质的不断提高。</w:t>
      </w:r>
    </w:p>
    <w:tbl>
      <w:tblPr>
        <w:tblStyle w:val="9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4"/>
        <w:gridCol w:w="3955"/>
      </w:tblGrid>
      <w:tr w14:paraId="3D39C3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5" w:hRule="exact"/>
          <w:jc w:val="center"/>
        </w:trPr>
        <w:tc>
          <w:tcPr>
            <w:tcW w:w="4524" w:type="dxa"/>
            <w:tcBorders>
              <w:tl2br w:val="nil"/>
              <w:tr2bl w:val="nil"/>
            </w:tcBorders>
            <w:vAlign w:val="top"/>
          </w:tcPr>
          <w:p w14:paraId="2A1D8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-1300480</wp:posOffset>
                  </wp:positionV>
                  <wp:extent cx="2701290" cy="1709420"/>
                  <wp:effectExtent l="0" t="0" r="3810" b="5080"/>
                  <wp:wrapSquare wrapText="bothSides"/>
                  <wp:docPr id="38" name="图片 38" descr="微信图片_20240906133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4090613390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55" w:type="dxa"/>
            <w:tcBorders>
              <w:tl2br w:val="nil"/>
              <w:tr2bl w:val="nil"/>
            </w:tcBorders>
            <w:vAlign w:val="top"/>
          </w:tcPr>
          <w:p w14:paraId="11277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28575</wp:posOffset>
                  </wp:positionV>
                  <wp:extent cx="2446020" cy="1663700"/>
                  <wp:effectExtent l="0" t="0" r="11430" b="12700"/>
                  <wp:wrapSquare wrapText="bothSides"/>
                  <wp:docPr id="39" name="图片 39" descr="c5363979b3e882573cd0cc529e39c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5363979b3e882573cd0cc529e39c9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7071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4524" w:type="dxa"/>
            <w:tcBorders>
              <w:tl2br w:val="nil"/>
              <w:tr2bl w:val="nil"/>
            </w:tcBorders>
            <w:vAlign w:val="top"/>
          </w:tcPr>
          <w:p w14:paraId="1DC567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新教师岗前培训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vAlign w:val="top"/>
          </w:tcPr>
          <w:p w14:paraId="1714F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“青蓝工程”师徒结对仪式</w:t>
            </w:r>
          </w:p>
        </w:tc>
      </w:tr>
      <w:tr w14:paraId="39900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exact"/>
          <w:jc w:val="center"/>
        </w:trPr>
        <w:tc>
          <w:tcPr>
            <w:tcW w:w="4524" w:type="dxa"/>
            <w:tcBorders>
              <w:tl2br w:val="nil"/>
              <w:tr2bl w:val="nil"/>
            </w:tcBorders>
            <w:vAlign w:val="top"/>
          </w:tcPr>
          <w:p w14:paraId="3CC0D2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37465</wp:posOffset>
                  </wp:positionV>
                  <wp:extent cx="2770505" cy="1410970"/>
                  <wp:effectExtent l="0" t="0" r="10795" b="17780"/>
                  <wp:wrapSquare wrapText="bothSides"/>
                  <wp:docPr id="43" name="图片 43" descr="1ec59a45ec1c971399b9aa9885db5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ec59a45ec1c971399b9aa9885db5e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55" w:type="dxa"/>
            <w:tcBorders>
              <w:tl2br w:val="nil"/>
              <w:tr2bl w:val="nil"/>
            </w:tcBorders>
            <w:vAlign w:val="top"/>
          </w:tcPr>
          <w:p w14:paraId="28F3A6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-1203960</wp:posOffset>
                  </wp:positionV>
                  <wp:extent cx="2366010" cy="1442085"/>
                  <wp:effectExtent l="0" t="0" r="15240" b="5715"/>
                  <wp:wrapSquare wrapText="bothSides"/>
                  <wp:docPr id="46" name="图片 46" descr="5f81fe9091b2753f69a765e5e601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5f81fe9091b2753f69a765e5e601c6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6BEE0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24" w:type="dxa"/>
            <w:tcBorders>
              <w:tl2br w:val="nil"/>
              <w:tr2bl w:val="nil"/>
            </w:tcBorders>
            <w:vAlign w:val="top"/>
          </w:tcPr>
          <w:p w14:paraId="2E199D92"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Times New Roman"/>
                <w:sz w:val="32"/>
                <w:szCs w:val="32"/>
                <w:lang w:val="en-US" w:eastAsia="zh-CN"/>
              </w:rPr>
              <w:t>新教师风采</w:t>
            </w:r>
          </w:p>
        </w:tc>
        <w:tc>
          <w:tcPr>
            <w:tcW w:w="3955" w:type="dxa"/>
            <w:tcBorders>
              <w:tl2br w:val="nil"/>
              <w:tr2bl w:val="nil"/>
            </w:tcBorders>
            <w:vAlign w:val="top"/>
          </w:tcPr>
          <w:p w14:paraId="6231E8AC">
            <w:pPr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32"/>
                <w:szCs w:val="32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 w:cs="Times New Roman"/>
                <w:sz w:val="32"/>
                <w:szCs w:val="32"/>
                <w:lang w:val="en-US" w:eastAsia="zh-CN"/>
              </w:rPr>
              <w:t>新教师在进行国旗下讲话</w:t>
            </w:r>
          </w:p>
        </w:tc>
      </w:tr>
    </w:tbl>
    <w:p w14:paraId="20918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52" w:firstLineChars="204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17" w:right="1474" w:bottom="1417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E128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7791C2">
                          <w:pPr>
                            <w:pStyle w:val="5"/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7791C2">
                    <w:pPr>
                      <w:pStyle w:val="5"/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iMTM5Y2Q4YTBkYzA0Yjk4NGMxMTNhY2UwYjU0NjIifQ=="/>
  </w:docVars>
  <w:rsids>
    <w:rsidRoot w:val="657C3D17"/>
    <w:rsid w:val="03893F38"/>
    <w:rsid w:val="05B97618"/>
    <w:rsid w:val="07506A90"/>
    <w:rsid w:val="0A4441B6"/>
    <w:rsid w:val="0D770B24"/>
    <w:rsid w:val="0DFF4F4B"/>
    <w:rsid w:val="1405769F"/>
    <w:rsid w:val="16924A8B"/>
    <w:rsid w:val="208B56C8"/>
    <w:rsid w:val="20997F78"/>
    <w:rsid w:val="29765498"/>
    <w:rsid w:val="30D8289E"/>
    <w:rsid w:val="33A066B0"/>
    <w:rsid w:val="38D271E1"/>
    <w:rsid w:val="3F2F3772"/>
    <w:rsid w:val="467001B9"/>
    <w:rsid w:val="46B856BC"/>
    <w:rsid w:val="479360D0"/>
    <w:rsid w:val="47B0067E"/>
    <w:rsid w:val="47B75973"/>
    <w:rsid w:val="49917942"/>
    <w:rsid w:val="538434F5"/>
    <w:rsid w:val="57AC34C4"/>
    <w:rsid w:val="5E395147"/>
    <w:rsid w:val="61CC6A8B"/>
    <w:rsid w:val="657C3D17"/>
    <w:rsid w:val="67CF7F96"/>
    <w:rsid w:val="6C3F6031"/>
    <w:rsid w:val="6E054536"/>
    <w:rsid w:val="7359745D"/>
    <w:rsid w:val="7917285D"/>
    <w:rsid w:val="7B24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1"/>
    <w:pPr>
      <w:spacing w:line="738" w:lineRule="exact"/>
      <w:ind w:left="2709"/>
      <w:outlineLvl w:val="1"/>
    </w:pPr>
    <w:rPr>
      <w:rFonts w:ascii="方正小标宋简体" w:hAnsi="方正小标宋简体" w:eastAsia="方正小标宋简体" w:cs="方正小标宋简体"/>
      <w:sz w:val="44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1474</Words>
  <Characters>1526</Characters>
  <Lines>0</Lines>
  <Paragraphs>0</Paragraphs>
  <TotalTime>6</TotalTime>
  <ScaleCrop>false</ScaleCrop>
  <LinksUpToDate>false</LinksUpToDate>
  <CharactersWithSpaces>1526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2024-11-08T08:11:00Z</dcterms:created>
  <dc:creator>冠杰</dc:creator>
  <cp:lastModifiedBy>zhan</cp:lastModifiedBy>
  <dcterms:modified xsi:type="dcterms:W3CDTF">2026-02-10T02:44:42Z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33AB8B60D45F40F8B943FBCDF6DC5162_13</vt:lpwstr>
  </property>
  <property fmtid="{D5CDD505-2E9C-101B-9397-08002B2CF9AE}" pid="4" name="KSOTemplateDocerSaveRecord">
    <vt:lpwstr>eyJoZGlkIjoiNGM1MTM0MjJmN2VkZWE5NjYwMjkzYTJjODkwY2Q1OTYiLCJ1c2VySWQiOiI1MTI3ODMyMzQifQ==</vt:lpwstr>
  </property>
</Properties>
</file>