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01E0">
      <w:pPr>
        <w:pStyle w:val="4"/>
        <w:ind w:firstLine="0" w:firstLineChars="0"/>
        <w:jc w:val="left"/>
        <w:rPr>
          <w:rFonts w:ascii="仿宋_GB2312" w:hAnsi="仿宋_GB2312" w:cs="仿宋_GB2312"/>
          <w:b w:val="0"/>
          <w:bCs/>
          <w:szCs w:val="32"/>
        </w:rPr>
      </w:pPr>
      <w:r>
        <w:rPr>
          <w:rFonts w:hint="eastAsia" w:ascii="仿宋_GB2312" w:hAnsi="仿宋_GB2312" w:cs="仿宋_GB2312"/>
          <w:b w:val="0"/>
          <w:bCs/>
          <w:szCs w:val="32"/>
        </w:rPr>
        <w:t>附件1</w:t>
      </w:r>
    </w:p>
    <w:p w14:paraId="2D41E1F1">
      <w:pPr>
        <w:pStyle w:val="9"/>
      </w:pPr>
      <w:r>
        <w:rPr>
          <w:rFonts w:hint="eastAsia"/>
        </w:rPr>
        <w:t>相</w:t>
      </w:r>
      <w:r>
        <w:rPr>
          <w:rFonts w:hint="eastAsia"/>
          <w:lang w:val="en-US" w:eastAsia="zh-CN"/>
        </w:rPr>
        <w:t>关</w:t>
      </w:r>
      <w:r>
        <w:rPr>
          <w:rFonts w:hint="eastAsia"/>
        </w:rPr>
        <w:t>企业简介</w:t>
      </w:r>
      <w:bookmarkStart w:id="0" w:name="_GoBack"/>
      <w:bookmarkEnd w:id="0"/>
    </w:p>
    <w:p w14:paraId="4564D1F0">
      <w:pPr>
        <w:ind w:firstLine="640"/>
      </w:pPr>
    </w:p>
    <w:p w14:paraId="6B7699CE">
      <w:pPr>
        <w:pStyle w:val="2"/>
      </w:pPr>
      <w:r>
        <w:rPr>
          <w:rFonts w:hint="eastAsia"/>
        </w:rPr>
        <w:t>北京能源集团有限责任公司</w:t>
      </w:r>
    </w:p>
    <w:p w14:paraId="3444F2DB">
      <w:pPr>
        <w:ind w:firstLine="640"/>
      </w:pPr>
      <w:r>
        <w:rPr>
          <w:rFonts w:hint="eastAsia"/>
        </w:rPr>
        <w:t>北京能源集团有限责任公司（以下简称“京能集团”或“集团”）是北京市人民政府出资设立的国有独资公司，肩负着保障首都北京能源安全可靠供应的重任。集团成立于2004年，由原北京国际电力开发投资公司和原北京市综合投资公司合并而成，2011年、2014年先后又与北京市热力集团有限责任公司、北京京煤集团有限责任公司实施合并重组，实现了产业链条融合互补。经过多年的资源整合，集团由单一能源产业发展为热力、电力、煤炭、健康文旅等多业态产业格局。截至2025年底，集团资产规模突破5000亿元，年营业收入近千亿元，全资及控股企业1000余家，参股企业120余家，拥有员工3.4万余人，投资区域遍布全国33个省市区以及海外，控股京能清洁能源、京能电力、昊华能源、京能置业、北京能源国际、京能热力六家上市公司，盈利水平长期稳居北京市属企业前列，荣获“中国绿色能源十大影响力品牌”荣誉。</w:t>
      </w:r>
    </w:p>
    <w:p w14:paraId="5272186E">
      <w:pPr>
        <w:ind w:firstLine="640"/>
      </w:pPr>
      <w:r>
        <w:rPr>
          <w:rFonts w:hint="eastAsia"/>
        </w:rPr>
        <w:t>截至2025年底，集团电力装机规模超5900万千瓦，其中可再生能源装机规模超3100万千瓦、占比超53%，电力装机规模和可再生能源装机规模均位列地方能源企业前列。核准煤炭产能2730万吨/年。供热面积超6亿平方米，其中，北京市供热面积超4亿平方米，占首都核心区供热市场的80%以上。</w:t>
      </w:r>
    </w:p>
    <w:p w14:paraId="240600BE">
      <w:pPr>
        <w:ind w:firstLine="640"/>
      </w:pPr>
      <w:r>
        <w:rPr>
          <w:rFonts w:hint="eastAsia"/>
        </w:rPr>
        <w:t>面向未来，京能集团以服务首都为己任，围绕首都“四个中心”功能建设，聚焦“五子”联动，抓住北京建设全球数字经济标杆城市和绿色经济示范城市等机遇，拓展首都大市场，旗帜鲜明做强“3+2+N”业务体系，大力推进能源传统产业提质升级、康养产业培育壮大、智算产业超前布局，不断增强核心功能，提高核心竞争力，努力将集团建设成为具有中国特色国际一流的首都综合能源服务集团。</w:t>
      </w:r>
    </w:p>
    <w:p w14:paraId="2A48512B">
      <w:pPr>
        <w:ind w:firstLine="640"/>
      </w:pPr>
    </w:p>
    <w:p w14:paraId="2225160D">
      <w:pPr>
        <w:pStyle w:val="2"/>
      </w:pPr>
      <w:r>
        <w:rPr>
          <w:rFonts w:hint="eastAsia"/>
        </w:rPr>
        <w:t>京能数字产业有限公司</w:t>
      </w:r>
    </w:p>
    <w:p w14:paraId="044E247E">
      <w:pPr>
        <w:ind w:firstLine="640"/>
      </w:pPr>
      <w:r>
        <w:rPr>
          <w:rFonts w:hint="eastAsia"/>
        </w:rPr>
        <w:t>京能数字产业有限公司（简称“京能数产”）是京能集团加大战略新兴业务发展力度，围绕能源产业链生态拓展新的业务领域和打造新的业务增长极，于2023年7月组建的数字算力业务平台公司。京能数产积极承接北京大力发展数字经济的战略任务，具备AI Infra全栈技术架构能力，旨在打造“全国最优人工智能算力平台”，努力成为“国内领先的人工智能算力综合服务商”，助力集团打造“能源+算力”特色产业生态。</w:t>
      </w:r>
    </w:p>
    <w:p w14:paraId="016DBE8E">
      <w:pPr>
        <w:pStyle w:val="2"/>
      </w:pPr>
      <w:r>
        <w:rPr>
          <w:rFonts w:hint="eastAsia"/>
        </w:rPr>
        <w:t>北京京能易碳数字科技有限公司</w:t>
      </w:r>
    </w:p>
    <w:p w14:paraId="23E683D2">
      <w:pPr>
        <w:ind w:firstLine="640"/>
      </w:pPr>
      <w:r>
        <w:rPr>
          <w:rFonts w:hint="eastAsia"/>
        </w:rPr>
        <w:t>北京京能易碳数字科技有限公司（以下简称“京能易碳”）是京能集团与上海易碳数字科技有限公司于2025年8月合资成立的集团碳数据业务公司。京能易碳围绕首都“双碳”先行示范区和集团双碳工作战略转型目标，以成为国内领先、国际一流的碳数据综合服务商为愿景，依托“能源+AI算法+碳数据服务”核心技术能力，聚焦解决碳足迹“自主算、算得准、可追溯、国际认”的“卡脖子”难题，以建设国家级碳数据超算中心关键节点为抓手，规模化投资、建设、运营面向政府、行业、企业的双碳综合管理服务平台，覆盖绿色规划、绿色设计、绿色采购、绿色运输、绿色制造、绿色金融服务等全生命周期碳数据业务场景，形成以京津冀区域为核心立体辐射的服务网络及生态合作体系，为北京市加快建设全球数字经济标杆城市和国际绿色经济标杆城市贡献关键力量，以碳数据服务驱动能源产业绿色升级转型。</w:t>
      </w:r>
    </w:p>
    <w:p w14:paraId="7A272E0E">
      <w:pPr>
        <w:ind w:firstLine="640"/>
      </w:pPr>
    </w:p>
    <w:p w14:paraId="6A5CDB19">
      <w:pPr>
        <w:pStyle w:val="2"/>
        <w:rPr>
          <w:rFonts w:hAnsi="Times New Roman"/>
        </w:rPr>
      </w:pPr>
      <w:r>
        <w:rPr>
          <w:rFonts w:hint="eastAsia"/>
        </w:rPr>
        <w:t>北京京能白河抽水蓄能有限公司</w:t>
      </w:r>
    </w:p>
    <w:p w14:paraId="4498BBEE">
      <w:pPr>
        <w:ind w:firstLine="640"/>
      </w:pPr>
      <w:r>
        <w:rPr>
          <w:rFonts w:hint="eastAsia"/>
        </w:rPr>
        <w:t>北京京能白河抽水蓄能有限公司负责延庆白河抽水蓄能项目的投资建设及运营，于2025年12月10日注册成立，注册资本20亿元，计划总投资78.14亿元，经营范围包括水力发电、发电业务、输电业务及风力发电技术服务、太阳能发电技术服务、数字技术服务等。</w:t>
      </w:r>
    </w:p>
    <w:p w14:paraId="5E29954C">
      <w:pPr>
        <w:ind w:firstLine="640"/>
      </w:pPr>
      <w:r>
        <w:rPr>
          <w:rFonts w:hint="eastAsia"/>
        </w:rPr>
        <w:t>延庆白河抽水蓄能项目电站初选装机容量为1000兆瓦，安装4台单机容量250兆瓦的立轴单级可逆混流式水泵-水轮机组。工程建成后承担着保障首都供电安全、应对极端事故、应急储能、辅助调峰、消纳外调绿电等诸多任务，是北京能源绿色低碳转型重点工程。</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40A2">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376E">
                          <w:pPr>
                            <w:pStyle w:val="6"/>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31376E">
                    <w:pPr>
                      <w:pStyle w:val="6"/>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767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BE6C">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576B">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361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AD0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55FD4"/>
    <w:rsid w:val="000B61DC"/>
    <w:rsid w:val="001B2523"/>
    <w:rsid w:val="0046069D"/>
    <w:rsid w:val="004874F6"/>
    <w:rsid w:val="00575328"/>
    <w:rsid w:val="005C20E9"/>
    <w:rsid w:val="00663005"/>
    <w:rsid w:val="006F3327"/>
    <w:rsid w:val="007C730E"/>
    <w:rsid w:val="00861D83"/>
    <w:rsid w:val="008A0348"/>
    <w:rsid w:val="00C34499"/>
    <w:rsid w:val="00C44196"/>
    <w:rsid w:val="00CB1C0D"/>
    <w:rsid w:val="00D85316"/>
    <w:rsid w:val="00DB2CC0"/>
    <w:rsid w:val="00E733A5"/>
    <w:rsid w:val="00F438FF"/>
    <w:rsid w:val="07B5164A"/>
    <w:rsid w:val="1B2F0AAA"/>
    <w:rsid w:val="2630286D"/>
    <w:rsid w:val="2C8E5437"/>
    <w:rsid w:val="61070F4C"/>
    <w:rsid w:val="6FFF20D4"/>
    <w:rsid w:val="7A555FD4"/>
    <w:rsid w:val="7DB2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200" w:firstLineChars="200"/>
      <w:jc w:val="both"/>
    </w:pPr>
    <w:rPr>
      <w:rFonts w:ascii="Times New Roman" w:hAnsi="Times New Roman" w:eastAsia="仿宋_GB2312" w:cs="仿宋-GB2312"/>
      <w:kern w:val="2"/>
      <w:sz w:val="32"/>
      <w:szCs w:val="24"/>
      <w:lang w:val="en-US" w:eastAsia="zh-CN" w:bidi="ar-SA"/>
    </w:rPr>
  </w:style>
  <w:style w:type="paragraph" w:styleId="2">
    <w:name w:val="heading 1"/>
    <w:basedOn w:val="1"/>
    <w:next w:val="1"/>
    <w:link w:val="15"/>
    <w:qFormat/>
    <w:uiPriority w:val="9"/>
    <w:pPr>
      <w:ind w:firstLine="640"/>
      <w:outlineLvl w:val="0"/>
    </w:pPr>
    <w:rPr>
      <w:rFonts w:hAnsi="黑体" w:eastAsia="黑体"/>
      <w:szCs w:val="32"/>
    </w:rPr>
  </w:style>
  <w:style w:type="paragraph" w:styleId="3">
    <w:name w:val="heading 2"/>
    <w:basedOn w:val="1"/>
    <w:next w:val="1"/>
    <w:link w:val="16"/>
    <w:semiHidden/>
    <w:unhideWhenUsed/>
    <w:qFormat/>
    <w:uiPriority w:val="9"/>
    <w:pPr>
      <w:ind w:firstLine="640"/>
      <w:outlineLvl w:val="1"/>
    </w:pPr>
    <w:rPr>
      <w:rFonts w:eastAsia="楷体_GB2312" w:cs="Times New Roman"/>
      <w:szCs w:val="32"/>
    </w:rPr>
  </w:style>
  <w:style w:type="paragraph" w:styleId="4">
    <w:name w:val="heading 3"/>
    <w:basedOn w:val="1"/>
    <w:next w:val="1"/>
    <w:link w:val="17"/>
    <w:semiHidden/>
    <w:unhideWhenUsed/>
    <w:qFormat/>
    <w:uiPriority w:val="9"/>
    <w:pPr>
      <w:ind w:firstLine="643"/>
      <w:outlineLvl w:val="2"/>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Subtitle"/>
    <w:next w:val="1"/>
    <w:link w:val="19"/>
    <w:qFormat/>
    <w:uiPriority w:val="11"/>
    <w:pPr>
      <w:spacing w:line="640" w:lineRule="exact"/>
      <w:jc w:val="center"/>
    </w:pPr>
    <w:rPr>
      <w:rFonts w:ascii="Times New Roman" w:hAnsi="Times New Roman" w:eastAsia="楷体_GB2312" w:cstheme="majorBidi"/>
      <w:kern w:val="2"/>
      <w:sz w:val="36"/>
      <w:szCs w:val="36"/>
      <w:lang w:val="en-US" w:eastAsia="zh-CN" w:bidi="ar-SA"/>
    </w:rPr>
  </w:style>
  <w:style w:type="paragraph" w:styleId="9">
    <w:name w:val="Title"/>
    <w:basedOn w:val="1"/>
    <w:next w:val="1"/>
    <w:link w:val="18"/>
    <w:qFormat/>
    <w:uiPriority w:val="10"/>
    <w:pPr>
      <w:widowControl/>
      <w:ind w:firstLine="0" w:firstLineChars="0"/>
      <w:jc w:val="center"/>
    </w:pPr>
    <w:rPr>
      <w:rFonts w:eastAsia="方正小标宋简体" w:cstheme="majorBidi"/>
      <w:sz w:val="44"/>
      <w:szCs w:val="44"/>
    </w:rPr>
  </w:style>
  <w:style w:type="character" w:styleId="12">
    <w:name w:val="Strong"/>
    <w:basedOn w:val="11"/>
    <w:qFormat/>
    <w:uiPriority w:val="22"/>
    <w:rPr>
      <w:b/>
      <w:bCs/>
    </w:rPr>
  </w:style>
  <w:style w:type="paragraph" w:styleId="13">
    <w:name w:val="List Paragraph"/>
    <w:basedOn w:val="1"/>
    <w:qFormat/>
    <w:uiPriority w:val="34"/>
    <w:pPr>
      <w:ind w:firstLine="420"/>
    </w:pPr>
    <w:rPr>
      <w:rFonts w:ascii="仿宋_GB2312" w:hAnsi="Calibri"/>
      <w:szCs w:val="20"/>
    </w:rPr>
  </w:style>
  <w:style w:type="character" w:customStyle="1" w:styleId="14">
    <w:name w:val="不明显强调1"/>
    <w:qFormat/>
    <w:uiPriority w:val="19"/>
  </w:style>
  <w:style w:type="character" w:customStyle="1" w:styleId="15">
    <w:name w:val="标题 1 字符"/>
    <w:basedOn w:val="11"/>
    <w:link w:val="2"/>
    <w:qFormat/>
    <w:uiPriority w:val="9"/>
    <w:rPr>
      <w:rFonts w:ascii="Times New Roman" w:hAnsi="黑体" w:eastAsia="黑体" w:cs="仿宋-GB2312"/>
      <w:sz w:val="32"/>
      <w:szCs w:val="32"/>
    </w:rPr>
  </w:style>
  <w:style w:type="character" w:customStyle="1" w:styleId="16">
    <w:name w:val="标题 2 字符"/>
    <w:basedOn w:val="11"/>
    <w:link w:val="3"/>
    <w:semiHidden/>
    <w:qFormat/>
    <w:uiPriority w:val="9"/>
    <w:rPr>
      <w:rFonts w:ascii="Times New Roman" w:hAnsi="Times New Roman" w:eastAsia="楷体_GB2312" w:cs="Times New Roman"/>
      <w:sz w:val="32"/>
      <w:szCs w:val="32"/>
    </w:rPr>
  </w:style>
  <w:style w:type="character" w:customStyle="1" w:styleId="17">
    <w:name w:val="标题 3 字符"/>
    <w:basedOn w:val="11"/>
    <w:link w:val="4"/>
    <w:semiHidden/>
    <w:qFormat/>
    <w:uiPriority w:val="9"/>
    <w:rPr>
      <w:rFonts w:ascii="Times New Roman" w:hAnsi="Times New Roman" w:eastAsia="仿宋_GB2312" w:cs="仿宋-GB2312"/>
      <w:b/>
      <w:sz w:val="32"/>
      <w:szCs w:val="24"/>
    </w:rPr>
  </w:style>
  <w:style w:type="character" w:customStyle="1" w:styleId="18">
    <w:name w:val="标题 字符"/>
    <w:basedOn w:val="11"/>
    <w:link w:val="9"/>
    <w:qFormat/>
    <w:uiPriority w:val="10"/>
    <w:rPr>
      <w:rFonts w:ascii="Times New Roman" w:hAnsi="Times New Roman" w:eastAsia="方正小标宋简体" w:cstheme="majorBidi"/>
      <w:sz w:val="44"/>
      <w:szCs w:val="44"/>
    </w:rPr>
  </w:style>
  <w:style w:type="character" w:customStyle="1" w:styleId="19">
    <w:name w:val="副标题 字符"/>
    <w:basedOn w:val="11"/>
    <w:link w:val="8"/>
    <w:qFormat/>
    <w:uiPriority w:val="11"/>
    <w:rPr>
      <w:rFonts w:ascii="Times New Roman" w:hAnsi="Times New Roman" w:eastAsia="楷体_GB2312" w:cstheme="majorBidi"/>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1486</Words>
  <Characters>1557</Characters>
  <Lines>11</Lines>
  <Paragraphs>3</Paragraphs>
  <TotalTime>20</TotalTime>
  <ScaleCrop>false</ScaleCrop>
  <LinksUpToDate>false</LinksUpToDate>
  <CharactersWithSpaces>1558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2026-01-27T02:24:00Z</dcterms:created>
  <dc:creator>不怕热哒小楠楠</dc:creator>
  <cp:lastModifiedBy>蔡瑜菲</cp:lastModifiedBy>
  <cp:lastPrinted>2026-01-27T07:28:00Z</cp:lastPrinted>
  <dcterms:modified xsi:type="dcterms:W3CDTF">2026-01-28T09:15:14Z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E463513A803B4D489A083092B7281201_11</vt:lpwstr>
  </property>
  <property fmtid="{D5CDD505-2E9C-101B-9397-08002B2CF9AE}" pid="4" name="KSOTemplateDocerSaveRecord">
    <vt:lpwstr>eyJoZGlkIjoiYWJmNTAxYTA0NTllZTU0OWY5NWY0MWNlMzBjNGU2OTYiLCJ1c2VySWQiOiIxNzA5OTc3NTM5In0=</vt:lpwstr>
  </property>
</Properties>
</file>