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7429B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760" w:lineRule="exact"/>
        <w:ind w:left="0" w:leftChars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shd w:val="clear" w:color="auto" w:fill="FFFFFF"/>
        </w:rPr>
        <w:t>广东工程职业技术学院202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shd w:val="clear" w:color="auto" w:fill="FFFFFF"/>
          <w:lang w:val="en-US" w:eastAsia="zh-CN"/>
        </w:rPr>
        <w:t>6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shd w:val="clear" w:color="auto" w:fill="FFFFFF"/>
        </w:rPr>
        <w:t>年公开招聘</w:t>
      </w:r>
    </w:p>
    <w:p w14:paraId="3D2F630D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760" w:lineRule="exact"/>
        <w:ind w:left="0" w:leftChars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shd w:val="clear" w:color="auto" w:fill="FFFFFF"/>
        </w:rPr>
        <w:t>非事业编制工作人员（第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shd w:val="clear" w:color="auto" w:fill="FFFFFF"/>
        </w:rPr>
        <w:t>批）公告</w:t>
      </w:r>
    </w:p>
    <w:p w14:paraId="44603B2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</w:pPr>
    </w:p>
    <w:p w14:paraId="4FFFD37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广东工程职业技术学院是省属公办高职院校，是广东省域高水平高职院校建设单位、广东省示范性高等职业院校、国家级示范性职业教育集团（联盟）培育单位、教育部首批现代学徒制试点院校。学校创办于1958年，前身为广东省成人科技大学，2005年转制为高职院校，是一所以工科专业为特色，文、经、管、艺等专业综合发展的高职院校。学校现有广州天河、省职教城（清远）两个校区。总占地面积近1070亩，全日制在校生达2万余人。</w:t>
      </w:r>
    </w:p>
    <w:p w14:paraId="2847D36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为满足学校整体发展需求，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现面向社会公开招聘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一批非事业编制工作人员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。现将有关事项公告如下：</w:t>
      </w:r>
    </w:p>
    <w:p w14:paraId="248AADD1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一、招聘对象</w:t>
      </w:r>
    </w:p>
    <w:p w14:paraId="21E4F20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国内普通高校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年应届毕业生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须在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月31日前取得国家承认学历学位证书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社会上具有国家承认学历的人员（港澳台学习、国外留学人员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须在报名开始之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日前取得教育部中国留学服务中心境外学历、学位认证函及有关证明材料）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</w:p>
    <w:p w14:paraId="223F5404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二、招聘条件</w:t>
      </w:r>
    </w:p>
    <w:p w14:paraId="376A04E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3" w:firstLineChars="200"/>
        <w:jc w:val="both"/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  <w:t>（一）基本条件</w:t>
      </w:r>
    </w:p>
    <w:p w14:paraId="58607BA7">
      <w:pPr>
        <w:pStyle w:val="4"/>
        <w:widowControl/>
        <w:spacing w:after="0" w:line="560" w:lineRule="exact"/>
        <w:ind w:firstLine="640" w:firstLineChars="200"/>
        <w:jc w:val="both"/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  <w:t>具有中华人民共和国国籍；港澳毕业生符合《粤港澳大湾区（内地）事业单位公开招聘港澳居民管理办法（试行）》和本公告规定的可报考相关岗位；</w:t>
      </w:r>
    </w:p>
    <w:p w14:paraId="72403085">
      <w:pPr>
        <w:pStyle w:val="4"/>
        <w:widowControl/>
        <w:spacing w:after="0" w:line="560" w:lineRule="exact"/>
        <w:ind w:firstLine="640" w:firstLineChars="200"/>
        <w:jc w:val="both"/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  <w:t>遵守中华人民共和国宪法和法律；</w:t>
      </w:r>
    </w:p>
    <w:p w14:paraId="1B519071">
      <w:pPr>
        <w:pStyle w:val="4"/>
        <w:widowControl/>
        <w:spacing w:after="0" w:line="560" w:lineRule="exact"/>
        <w:ind w:firstLine="640" w:firstLineChars="200"/>
        <w:jc w:val="both"/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  <w:t>思想政治素质好，遵纪守法，具有良好的职业道德和职业素养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具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  <w:t>有团队协作精神；</w:t>
      </w:r>
    </w:p>
    <w:p w14:paraId="4E05A693">
      <w:pPr>
        <w:pStyle w:val="4"/>
        <w:widowControl/>
        <w:spacing w:after="0" w:line="560" w:lineRule="exact"/>
        <w:ind w:firstLine="640" w:firstLineChars="200"/>
        <w:jc w:val="both"/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  <w:t>具备岗位所需的专业或者技能条件；</w:t>
      </w:r>
    </w:p>
    <w:p w14:paraId="276717D8">
      <w:pPr>
        <w:pStyle w:val="4"/>
        <w:widowControl/>
        <w:spacing w:after="0" w:line="560" w:lineRule="exact"/>
        <w:ind w:firstLine="640" w:firstLineChars="200"/>
        <w:jc w:val="both"/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5.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  <w:t>适应岗位要求的身心条件，符合体检要求；</w:t>
      </w:r>
    </w:p>
    <w:p w14:paraId="67E7F64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6.年龄、工作年限等取得时间的计算截止日期为2025年12月31日。</w:t>
      </w:r>
    </w:p>
    <w:p w14:paraId="49CDCC5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3" w:firstLineChars="200"/>
        <w:jc w:val="both"/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  <w:t>）有下列情形的人员不得报考</w:t>
      </w:r>
    </w:p>
    <w:p w14:paraId="4F2305A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尚未解除纪律处分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或者正在接受纪律审查的人员，刑事处罚期限未满或者涉嫌违法犯罪正在接受调查的人员，以及法律、法规规定的其他不得应聘人员，不得报考。</w:t>
      </w:r>
    </w:p>
    <w:p w14:paraId="75F8CC2D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、招聘岗位</w:t>
      </w:r>
    </w:p>
    <w:p w14:paraId="2F7BD1D4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beforeAutospacing="0" w:after="0" w:afterAutospacing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  <w:t>详见《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广东工程职业技术学院202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年公开招聘非事业编制工作人员（第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批）计划表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  <w:t>》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</w:p>
    <w:p w14:paraId="488CADA4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、薪酬待遇</w:t>
      </w:r>
    </w:p>
    <w:p w14:paraId="0A975B9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firstLine="640" w:firstLineChars="200"/>
        <w:jc w:val="both"/>
        <w:rPr>
          <w:rFonts w:hint="default" w:ascii="Times New Roman" w:hAnsi="Times New Roman" w:eastAsia="仿宋" w:cs="仿宋"/>
          <w:bCs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获聘用人员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以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非事业编制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形式引进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，薪酬待遇按学校有关规定执行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shd w:val="clear" w:color="auto" w:fill="FFFFFF"/>
        </w:rPr>
        <w:t>非事业编制Aˉ类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聘用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人员年薪税前约12万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元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。</w:t>
      </w:r>
    </w:p>
    <w:p w14:paraId="4E22DE5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可协助符合广州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入户条件的个人办理广州市的户籍入户手续。学校不负责其人事档案的管理或代理。</w:t>
      </w:r>
    </w:p>
    <w:p w14:paraId="59FF1816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、应聘方式</w:t>
      </w:r>
    </w:p>
    <w:p w14:paraId="4060D7D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3" w:firstLineChars="200"/>
        <w:jc w:val="both"/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  <w:t>（一）报名时间</w:t>
      </w:r>
    </w:p>
    <w:p w14:paraId="23860AA0">
      <w:pPr>
        <w:shd w:val="solid" w:color="FFFFFF" w:fill="auto"/>
        <w:autoSpaceDN w:val="0"/>
        <w:spacing w:line="560" w:lineRule="exact"/>
        <w:ind w:firstLine="640" w:firstLineChars="200"/>
        <w:rPr>
          <w:rFonts w:hint="eastAsia" w:ascii="Times New Roman" w:hAnsi="Times New Roman" w:eastAsia="仿宋" w:cs="仿宋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" w:cs="仿宋"/>
          <w:bCs/>
          <w:color w:val="auto"/>
          <w:sz w:val="32"/>
          <w:szCs w:val="32"/>
          <w:shd w:val="clear" w:color="auto" w:fill="FFFFFF"/>
        </w:rPr>
        <w:t>自本公告发布之日起接受报名，所有岗位根据报名情况不定期开展招聘考核，招满即止。</w:t>
      </w:r>
    </w:p>
    <w:p w14:paraId="7E5DB0F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shd w:val="clear" w:color="auto" w:fill="FFFFFF"/>
        </w:rPr>
        <w:t>报名方式</w:t>
      </w:r>
    </w:p>
    <w:p w14:paraId="5D86C27C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应聘人员按要求填写《广东工程职业技术学院公开招聘人员报名表》（附件2）、《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广东工程职业技术学院公开招聘人员报名汇总表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》（附件3），连同身份证正反面、各阶段学历学位证书及学信网验证报告、职称证书等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相关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证明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材料电子版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港澳台学习、国外留学人员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需同时提供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教育部中国留学服务中心境外学历、学位认证函及有关证明材料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），发送至指定电子邮箱gdgcrenshichu@163.com，附件2、附件3要求保留可编辑格式，其他材料要求为PDF格式。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并在邮件标题注明“考生姓名+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应聘岗位代码”，如“张三+A1”。每人限报一个岗位，考生提交的报名表和汇总表中所填信息与相关佐证材料不一致、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材料不齐全者不接受报名。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  <w:t>合则约见。</w:t>
      </w:r>
    </w:p>
    <w:p w14:paraId="517E3556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shd w:val="clear" w:color="auto" w:fill="FFFFFF"/>
          <w:lang w:val="en-US" w:eastAsia="zh-CN"/>
        </w:rPr>
        <w:t>（三）报名材料</w:t>
      </w:r>
    </w:p>
    <w:p w14:paraId="1962CD2A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考生须自行提前准备好有关证件、证明材料原件和复印件材料，按以下材料顺序整理成册，在资格复审时一并提供。</w:t>
      </w:r>
    </w:p>
    <w:p w14:paraId="5FE51C6C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复审需提供的资料如下：</w:t>
      </w:r>
    </w:p>
    <w:p w14:paraId="6E0A45F6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（1）《广东工程职业技术学院公开招聘人员报名表》，加贴近期彩色证件照；</w:t>
      </w:r>
    </w:p>
    <w:p w14:paraId="211BD4E4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（2）身份证原件及复印件；</w:t>
      </w:r>
    </w:p>
    <w:p w14:paraId="7FF0DD52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 xml:space="preserve">（3）各阶段学历学位证书（含认证报告）、专业技术资格证、职业资格证书等原件及复印件；国（境）外学历须同时提交教育部出具的学历、学位认证书以及有关证明材料； </w:t>
      </w:r>
    </w:p>
    <w:p w14:paraId="23065F2B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（4）岗位要求的其他相关证明材料：如工作经历（学生干部）证明、中共党员证明等材料；</w:t>
      </w:r>
    </w:p>
    <w:p w14:paraId="2FA935C0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（5）以相近专业报考的考生，还须提供所学专业课程成绩单（须毕业院校教务处盖章）、毕业院校出具的课程对比情况说明（即证明所学专业必修课程与报考岗位要求的专业主要课程基本一致）及毕业院校设置专业的依据等材料。</w:t>
      </w:r>
    </w:p>
    <w:p w14:paraId="2E412310"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3" w:firstLineChars="200"/>
        <w:jc w:val="both"/>
        <w:rPr>
          <w:rFonts w:hint="eastAsia" w:ascii="Times New Roman" w:hAnsi="Times New Roman" w:eastAsia="仿宋_GB2312" w:cs="仿宋_GB2312"/>
          <w:b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/>
          <w:color w:val="auto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仿宋_GB2312"/>
          <w:b/>
          <w:color w:val="auto"/>
          <w:kern w:val="0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Times New Roman" w:hAnsi="Times New Roman" w:eastAsia="仿宋_GB2312" w:cs="仿宋_GB2312"/>
          <w:b/>
          <w:color w:val="auto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仿宋_GB2312" w:cs="仿宋_GB2312"/>
          <w:b/>
          <w:color w:val="auto"/>
          <w:kern w:val="0"/>
          <w:sz w:val="32"/>
          <w:szCs w:val="32"/>
          <w:shd w:val="clear" w:color="auto" w:fill="FFFFFF"/>
        </w:rPr>
        <w:t>注意事项</w:t>
      </w:r>
    </w:p>
    <w:p w14:paraId="07BF3B66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实行应聘人员诚信承诺制度。应聘人员报名时应当承诺所填报资料及所提供的信息真实、准确、完整性。如因个人填报信息失实，或不符合招聘条件和岗位要求而被取消应聘资格的，由应聘人员本人负责。资格审查贯穿招聘全过程。</w:t>
      </w:r>
    </w:p>
    <w:p w14:paraId="32AEE4D2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六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、考核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方式</w:t>
      </w:r>
    </w:p>
    <w:p w14:paraId="17308ADA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考核方式采取综合面试的方式进行。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综合面试命题、评分及考务均由我校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自行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组织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 w14:paraId="728FDD02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1.专任教师综合面试采用试讲和问答的方式进行，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非专任教师类岗位综合面试采用结构化面试方式进行。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</w:p>
    <w:p w14:paraId="6AB49994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2.综合面试成绩采用百分制计分，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去掉一个最高分和一个最低分取平均值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四舍五入保留小数点后2位，且综合面试成绩高于70分者方可录用。按照招聘计划数1:1的比例，从高分到低分分岗位确定拟体检人选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（若成绩出现并列，则以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综合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面试主评委评分高低顺序确定名次；如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综合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面试主评委评分仍然相同的，则由招聘单位另行组织面试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。</w:t>
      </w:r>
    </w:p>
    <w:p w14:paraId="17C1DEA4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七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、体检</w:t>
      </w:r>
    </w:p>
    <w:p w14:paraId="123E9DF3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学校安排专人统一组织体检对象到指定三甲医院进行体检，有关费用由考生自理。体检标准参照《广东省事业单位公开招聘人员体检实施细则（试行）》（粤人社发〔2010〕382号），体检不合格者，经考生书面申请可复检一次，复检仍不合格的，不进入考察环节。</w:t>
      </w:r>
    </w:p>
    <w:p w14:paraId="3CD8A2FE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八、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考察</w:t>
      </w:r>
    </w:p>
    <w:p w14:paraId="747C8144"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/>
        <w:jc w:val="both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shd w:val="clear" w:color="auto" w:fill="FFFFFF"/>
        </w:rPr>
        <w:t xml:space="preserve">    学校对体检合格的拟聘人员进行考察。</w:t>
      </w:r>
    </w:p>
    <w:p w14:paraId="3602F3A7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九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</w:rPr>
        <w:t>、公示和聘用</w:t>
      </w:r>
    </w:p>
    <w:p w14:paraId="087BE708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根据应聘者体检和考察结果确定拟聘用人选。名单在学校网站公示，公示时间为3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天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。经公示无异议的，按照规定办理聘用手续。</w:t>
      </w:r>
    </w:p>
    <w:p w14:paraId="592B3CC5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十、联系方式</w:t>
      </w:r>
      <w:bookmarkStart w:id="0" w:name="_GoBack"/>
      <w:bookmarkEnd w:id="0"/>
    </w:p>
    <w:p w14:paraId="3EF89A1A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咨询电话：020-3739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4005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人力资源部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）</w:t>
      </w:r>
    </w:p>
    <w:p w14:paraId="718849CB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监督电话：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020-83986463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（纪检室）</w:t>
      </w:r>
    </w:p>
    <w:p w14:paraId="0DF673EE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313" w:leftChars="0" w:hanging="313" w:hangingChars="98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</w:p>
    <w:p w14:paraId="2607A1BA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313" w:leftChars="0" w:hanging="313" w:hangingChars="98"/>
        <w:jc w:val="right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广东工程职业技术学院</w:t>
      </w:r>
    </w:p>
    <w:p w14:paraId="0382769E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320" w:firstLineChars="100"/>
        <w:jc w:val="right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日</w:t>
      </w:r>
    </w:p>
    <w:p w14:paraId="0CBFC381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0" w:leftChars="0" w:firstLine="646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</w:p>
    <w:p w14:paraId="63CE15E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left="1598" w:leftChars="304" w:hanging="960" w:hangingChars="300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  <w:t>附件：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  <w:t>广东工程职业技术学院202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  <w:t>年公开招聘非事业编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  <w:t>制工作人员（第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Times New Roman" w:hAnsi="Times New Roman" w:eastAsia="仿宋_GB2312" w:cs="仿宋_GB2312"/>
          <w:bCs/>
          <w:color w:val="auto"/>
          <w:kern w:val="0"/>
          <w:sz w:val="32"/>
          <w:szCs w:val="32"/>
          <w:shd w:val="clear" w:color="auto" w:fill="FFFFFF"/>
        </w:rPr>
        <w:t>批）计划表</w:t>
      </w:r>
    </w:p>
    <w:p w14:paraId="7A8F326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firstLine="1600" w:firstLineChars="500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广东工程职业技术学院公开招聘人员报名表</w:t>
      </w:r>
    </w:p>
    <w:p w14:paraId="37984C0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firstLine="1600" w:firstLineChars="500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广东工程职业技术学院公开招聘人员报名汇总表</w:t>
      </w:r>
    </w:p>
    <w:p w14:paraId="598FE1D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after="0" w:line="560" w:lineRule="exact"/>
        <w:ind w:firstLine="1600" w:firstLineChars="500"/>
        <w:jc w:val="both"/>
        <w:textAlignment w:val="baseline"/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4.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中共党员证明模板</w:t>
      </w:r>
    </w:p>
    <w:p w14:paraId="4C664C14">
      <w:pPr>
        <w:pStyle w:val="4"/>
        <w:widowControl/>
        <w:numPr>
          <w:ilvl w:val="0"/>
          <w:numId w:val="0"/>
        </w:numPr>
        <w:shd w:val="clear" w:color="auto" w:fill="FFFFFF"/>
        <w:spacing w:after="0" w:line="560" w:lineRule="exact"/>
        <w:ind w:firstLine="1600" w:firstLineChars="500"/>
        <w:jc w:val="both"/>
        <w:textAlignment w:val="baseline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5.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广东省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  <w:lang w:val="en-US" w:eastAsia="zh-CN"/>
        </w:rPr>
        <w:t>2025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shd w:val="clear" w:color="auto" w:fill="FFFFFF"/>
        </w:rPr>
        <w:t>年考试录用公务员专业参考目录</w:t>
      </w:r>
    </w:p>
    <w:p w14:paraId="62648FB5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left="0" w:leftChars="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 w14:paraId="590F8A36">
      <w:pPr>
        <w:rPr>
          <w:rFonts w:ascii="Times New Roman" w:hAnsi="Times New Roma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8B06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82968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F82968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4D40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870FC"/>
    <w:rsid w:val="17211637"/>
    <w:rsid w:val="1727192F"/>
    <w:rsid w:val="19835CEF"/>
    <w:rsid w:val="1BD76B16"/>
    <w:rsid w:val="20D649A5"/>
    <w:rsid w:val="294F0E53"/>
    <w:rsid w:val="29932929"/>
    <w:rsid w:val="2F1F1E1F"/>
    <w:rsid w:val="332F6619"/>
    <w:rsid w:val="34E14BF9"/>
    <w:rsid w:val="38F11557"/>
    <w:rsid w:val="415128DB"/>
    <w:rsid w:val="44A75D5E"/>
    <w:rsid w:val="48D134A8"/>
    <w:rsid w:val="545B50F6"/>
    <w:rsid w:val="5B9F4116"/>
    <w:rsid w:val="5E9E414D"/>
    <w:rsid w:val="601A3E7A"/>
    <w:rsid w:val="6AD26752"/>
    <w:rsid w:val="6C741381"/>
    <w:rsid w:val="702539C8"/>
    <w:rsid w:val="70EE1C46"/>
    <w:rsid w:val="7B591F58"/>
    <w:rsid w:val="7CA73E54"/>
    <w:rsid w:val="7EFD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after="21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8c59048f-e37d-44a9-b9d7-930321351dc3</errorID>
      <errorWord>广东省域</errorWord>
      <group>L1_Word</group>
      <groupName>字词问题</groupName>
      <ability>L2_Typo</ability>
      <abilityName>字词错误</abilityName>
      <candidateList>
        <item>广东省</item>
      </candidateList>
      <explain/>
      <paraID>4FFFD37A</paraID>
      <start>21</start>
      <end>25</end>
      <status>unmodified</status>
      <modifiedWord/>
      <trackRevisions>false</trackRevisions>
    </reviewItem>
    <reviewItem>
      <errorID>bb2c5aa4-9e47-4cb5-8637-ade9e0338fe9</errorID>
      <errorWord>，</errorWord>
      <group>L1_Word</group>
      <groupName>字词问题</groupName>
      <ability>L2_Typo</ability>
      <abilityName>字词错误</abilityName>
      <candidateList>
        <item>，具</item>
      </candidateList>
      <explain/>
      <paraID>1B519071</paraID>
      <start>29</start>
      <end>30</end>
      <status>unmodified</status>
      <modifiedWord/>
      <trackRevisions>false</trackRevisions>
    </reviewItem>
    <reviewItem>
      <errorID>1a8d6cac-ff05-45eb-99c2-c32925d3e5bb</errorID>
      <errorWord>法律、法规</errorWord>
      <group>L1_Word</group>
      <groupName>字词问题</groupName>
      <ability>L2_Typo</ability>
      <abilityName>字词错误</abilityName>
      <candidateList>
        <item>法律法规</item>
      </candidateList>
      <explain/>
      <paraID>4F2305A3</paraID>
      <start>50</start>
      <end>55</end>
      <status>unmodified</status>
      <modifiedWord/>
      <trackRevisions>false</trackRevisions>
    </reviewItem>
    <reviewItem>
      <errorID>fa591e59-8cde-457c-80ab-f48c098aba98</errorID>
      <errorWord>的的</errorWord>
      <group>L1_Word</group>
      <groupName>字词问题</groupName>
      <ability>L2_Typo</ability>
      <abilityName>字词错误</abilityName>
      <candidateList>
        <item>的</item>
      </candidateList>
      <explain>“的”常用于连接修饰语与名词性中心语，表示属性、所属或描述。</explain>
      <paraID> 7BF3B66</paraID>
      <start>33</start>
      <end>35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80f39f-8587-48c2-a84a-cb4fe2c19d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2186</Words>
  <Characters>2292</Characters>
  <Lines>0</Lines>
  <Paragraphs>0</Paragraphs>
  <TotalTime>77</TotalTime>
  <ScaleCrop>false</ScaleCrop>
  <LinksUpToDate>false</LinksUpToDate>
  <CharactersWithSpaces>2306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2025-04-22T02:06:00Z</dcterms:created>
  <dc:creator>郑洁</dc:creator>
  <cp:lastModifiedBy>sunny</cp:lastModifiedBy>
  <cp:lastPrinted>2026-01-06T06:29:00Z</cp:lastPrinted>
  <dcterms:modified xsi:type="dcterms:W3CDTF">2026-01-06T08:44:18Z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2C4E89DF9D394373A56F451FA86B3769_13</vt:lpwstr>
  </property>
  <property fmtid="{D5CDD505-2E9C-101B-9397-08002B2CF9AE}" pid="4" name="KSOTemplateDocerSaveRecord">
    <vt:lpwstr>eyJoZGlkIjoiOTliMTA1YmZjYTViMjcxNmNkNzY1NzdjNjE3YWQ0YjMiLCJ1c2VySWQiOiIzOTMwNTQwNzIifQ==</vt:lpwstr>
  </property>
</Properties>
</file>