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579" w:lineRule="exact"/>
        <w:jc w:val="left"/>
        <w:textAlignment w:val="auto"/>
        <w:outlineLvl w:val="0"/>
        <w:rPr>
          <w:rFonts w:hint="default" w:ascii="方正小标宋_GBK" w:hAnsi="方正小标宋_GBK" w:eastAsia="方正小标宋_GBK" w:cs="方正小标宋_GBK"/>
          <w:spacing w:val="-17"/>
          <w:w w:val="100"/>
          <w:position w:val="-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w w:val="100"/>
          <w:position w:val="-2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50"/>
          <w:szCs w:val="50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50"/>
          <w:szCs w:val="50"/>
        </w:rPr>
        <w:t>成都经济技术开发区（龙泉驿区）区属国企简介</w:t>
      </w:r>
    </w:p>
    <w:p>
      <w:pPr>
        <w:spacing w:line="579" w:lineRule="exact"/>
      </w:pPr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50"/>
          <w:szCs w:val="50"/>
          <w:highlight w:val="yellow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成都经开建设管理有限公司简介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成都经开建设管理有限公司（以下简称“经开建管公司”）成立于2009年7月，前身为成都经济技术开发区城市建设投资经营有限公司。2020年8月，划转为成都经开国投集团有限公司下属子公司，2025年10月，提级至成都经开发展控股集团有限公司管理。主要承担政府投资代建管理和企业投资工作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ind w:firstLine="640" w:firstLineChars="200"/>
        <w:textAlignment w:val="baseline"/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经开建管公司始终以打造“先进制造业高地、现代化品质城区”为己任，深耕龙泉驿区的城市建设与民生保障领域，高标准、高品质实施公服设施、安居工程、市政道路等项目，其中多个项目获得国家级、省部级荣誉。</w:t>
      </w:r>
    </w:p>
    <w:p>
      <w:pPr>
        <w:pStyle w:val="8"/>
      </w:pPr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50"/>
          <w:szCs w:val="50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成都经开园区投资有限公司简介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成都经开园区投资有限公司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以下简称“经开园区公司”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为成都经开国投集团有限公司控股子公司，于2021年8月实质化运作，注册资本27亿元，管理10家子公司，资产总额107.76亿元。主要业务涵盖片区开发、项目投资、商业资产运营、房地产开发等领域。经开园区公司以市场转型和高质量发展为主线，抢抓城乡融合发展机遇，遵循“产业赋能、资本运营、人才强企”三大路径，贯彻“聚焦产业、改革创新、稳健经营”三大理念，构建产业发展新格局，打造产业发展新业态。</w:t>
      </w:r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before="215" w:line="579" w:lineRule="exact"/>
        <w:jc w:val="center"/>
        <w:outlineLvl w:val="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成都经开数字城市运营管理有限公司简介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成都经开数字城市运营管理有限公司（以下简称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经开数运公司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”）</w:t>
      </w:r>
      <w:r>
        <w:rPr>
          <w:rFonts w:ascii="Times New Roman" w:hAnsi="Times New Roman" w:eastAsia="方正仿宋_GBK" w:cs="Times New Roman"/>
          <w:sz w:val="32"/>
          <w:szCs w:val="32"/>
        </w:rPr>
        <w:t>成立于2022年4月，是经开国投集团全资子公司，注册资本1亿元，资产规模2.37亿元。经营范围包括企业管理、大数据服务、信息技术咨询服务、信息系统集成服务、数据处理和存储支持服务、物联网技术服务等。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经开数运公司</w:t>
      </w:r>
      <w:r>
        <w:rPr>
          <w:rFonts w:ascii="Times New Roman" w:hAnsi="Times New Roman" w:eastAsia="方正仿宋_GBK" w:cs="Times New Roman"/>
          <w:sz w:val="32"/>
          <w:szCs w:val="32"/>
        </w:rPr>
        <w:t>聚焦集团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城市综合运营商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发展定位、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美好生活服务商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发展愿景，坚持以“数字城市运营商”为目标，致力于推进龙泉驿区智慧城市基础设施和主要应用场景建设。</w:t>
      </w:r>
    </w:p>
    <w:p>
      <w:pPr>
        <w:pStyle w:val="7"/>
        <w:spacing w:line="579" w:lineRule="exact"/>
        <w:ind w:firstLine="640" w:firstLineChars="200"/>
        <w:jc w:val="both"/>
        <w:rPr>
          <w:rFonts w:ascii="Times New Roman" w:eastAsia="方正仿宋_GBK"/>
          <w:bCs/>
          <w:sz w:val="32"/>
          <w:szCs w:val="32"/>
        </w:rPr>
      </w:pPr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成都经开产投建设投资有限公司</w:t>
      </w: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简介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成都经开产投建设投资有限公司（以下简称“经开建投公司”）于2020年12月成立，系成都经开产业投资集团有限公司全资二级子公司，公司注册资本金为10亿元。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开建投公司业务涵盖基础配套设施建设、公共服务配套设施建设等领域。近年来完成驿都大道整治等大运配套工程；稳步推进东安湖路、活力路等重要市政工程，红岭佳苑、芙蓉花语安置小区等公服配套项目。经开建投公司按照“完善治理、强化激励、突出主业、提高效率”的国企改革要求，以质量、安全、人才为企业核心竞争力，以承担社会责任、创造社会价值为使命，奉献社会、发展区域经济。</w:t>
      </w:r>
    </w:p>
    <w:p>
      <w:pPr>
        <w:pStyle w:val="8"/>
        <w:rPr>
          <w:rFonts w:hint="eastAsia"/>
          <w:color w:val="auto"/>
        </w:rPr>
      </w:pPr>
    </w:p>
    <w:p>
      <w:pPr>
        <w:spacing w:before="215" w:line="579" w:lineRule="exact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成都经开医疗投资集团有限公司简介</w:t>
      </w:r>
    </w:p>
    <w:p>
      <w:pPr>
        <w:pStyle w:val="7"/>
        <w:adjustRightInd/>
        <w:snapToGrid/>
        <w:spacing w:line="579" w:lineRule="exact"/>
        <w:ind w:firstLine="640" w:firstLineChars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成都经开医疗投资集团有限公司（以下简称经开医投集团）于2022年12月改组成立，系成都经开产业投资集团有限公司下属二级公司，公司注册资本金2亿元，下设合资公司两家。</w:t>
      </w:r>
    </w:p>
    <w:p>
      <w:pPr>
        <w:pStyle w:val="7"/>
        <w:adjustRightInd/>
        <w:snapToGrid/>
        <w:spacing w:line="579" w:lineRule="exact"/>
        <w:ind w:firstLine="640" w:firstLineChars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经开医投集团坚持以推进龙泉驿区医疗和健康事业发展为核心，聚焦健康养老产业、专科医疗机构、医疗供应链服务、婴幼儿托育四个领域，以“集中化、专业化、品牌化”为方向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。成立以来，投建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运营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婴幼儿托育机构2家、口腔专科医院1家；运营成都市医疗物资配送首条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“低空+医疗”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无人机航线；开展便民共享设备等4项医疗配套服务业务。正着力培育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医疗康养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战略支柱业务，加快打造具有影响力的大健康产业投资集团。</w:t>
      </w:r>
    </w:p>
    <w:p>
      <w:pPr>
        <w:pStyle w:val="7"/>
        <w:adjustRightInd/>
        <w:snapToGrid/>
        <w:spacing w:line="579" w:lineRule="exact"/>
        <w:ind w:firstLine="0" w:firstLineChars="0"/>
        <w:rPr>
          <w:rFonts w:hint="eastAsia" w:hAnsi="方正小标宋简体" w:cs="方正小标宋简体"/>
          <w:bCs/>
          <w:spacing w:val="8"/>
          <w:szCs w:val="44"/>
          <w:shd w:val="clear" w:color="auto" w:fill="FFFFFF"/>
        </w:rPr>
      </w:pPr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成都经开陆港联航投资发展有限公司简介</w:t>
      </w:r>
    </w:p>
    <w:p>
      <w:pPr>
        <w:pStyle w:val="8"/>
        <w:spacing w:line="579" w:lineRule="exact"/>
        <w:ind w:firstLine="556"/>
        <w:rPr>
          <w:rFonts w:ascii="Times New Roman" w:hAnsi="Times New Roman" w:eastAsia="方正仿宋_GBK"/>
          <w:snapToGrid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</w:rPr>
        <w:t>成都经开陆港联航投资发展有限公司（</w:t>
      </w: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  <w:lang w:val="en-US" w:eastAsia="zh-CN"/>
        </w:rPr>
        <w:t>以下</w:t>
      </w: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</w:rPr>
        <w:t>简称</w:t>
      </w: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</w:rPr>
        <w:t>经开港联公司</w:t>
      </w: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</w:rPr>
        <w:t>）系成都经开产业投资集团有限公司全资二级子公司，定位为多式联运与供应链协同的现代物流投资运营商、低空经济产业发展的投资运营商，注册资本金23.93亿元，总资产73.48亿元。参股四川西部陆海新通道供应链管理有限公司。</w:t>
      </w:r>
    </w:p>
    <w:p>
      <w:pPr>
        <w:pStyle w:val="8"/>
        <w:spacing w:line="579" w:lineRule="exact"/>
        <w:ind w:firstLine="556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/>
          <w:color w:val="auto"/>
          <w:kern w:val="0"/>
          <w:sz w:val="32"/>
          <w:szCs w:val="32"/>
        </w:rPr>
        <w:t>经开港联公司业务涵盖现代物流和低空经济两大方向。现代物流方面，主要聚焦多式联运和智慧供应链集成两大业务板块。低空经济方面，主要聚焦低空场景打造，低空基础设施投资建设运营，低空生产性服务三大业务板块。目前已实现无水港信息系统及集装箱网络货运平台打造，水蜜桃吊运等典型低空场景打造。经开港联公司作为经开产投集团布局新兴产业的代表，抢抓现代物流、低空经济的市场机遇，加快推动市场化转型。</w:t>
      </w:r>
    </w:p>
    <w:p>
      <w:pPr>
        <w:spacing w:line="579" w:lineRule="exact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成都经开</w:t>
      </w: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地理信息</w:t>
      </w:r>
      <w:r>
        <w:rPr>
          <w:rFonts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勘测</w:t>
      </w: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设计院</w:t>
      </w:r>
      <w:r>
        <w:rPr>
          <w:rFonts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有限公司</w:t>
      </w: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简介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成都经开地理信息勘测设计院有限公司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以下简称“经开勘测公司”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成立于2002年，是一家装备精良、专业技术全面、具有多种竞争优势的综合性测绘地理信息企业，先后被认定为创新型中小企业、科技型中小企业、专精特新中小企业、高新技术企业，曾获得国家级、省级“地理信息产业优秀工程奖”金奖、银奖，以及省行业“最具活力单位”“十佳单位”等荣誉；并</w:t>
      </w:r>
      <w:r>
        <w:rPr>
          <w:rFonts w:hint="eastAsia" w:ascii="Times New Roman" w:hAnsi="Times New Roman" w:eastAsia="方正仿宋_GBK"/>
          <w:sz w:val="32"/>
          <w:szCs w:val="32"/>
        </w:rPr>
        <w:t>通过了ISO9001质量管理体系、ISO14001环境管理体系、ISO45001职业健康安全管理体系认证。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公司主要为城乡规划与建设、自然资源管理、智慧城市构建、乡村振兴、资源调查、灾害监测、交通及水务等多个领域提供高质量的技术服务。</w:t>
      </w:r>
    </w:p>
    <w:p>
      <w:pPr>
        <w:tabs>
          <w:tab w:val="left" w:pos="540"/>
        </w:tabs>
        <w:spacing w:line="579" w:lineRule="exact"/>
        <w:ind w:firstLine="960" w:firstLineChars="3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pacing w:before="215" w:line="579" w:lineRule="exact"/>
        <w:jc w:val="center"/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成都市兴贤人才咨询服务有限责任公司简介</w:t>
      </w:r>
    </w:p>
    <w:p>
      <w:pPr>
        <w:topLinePunct/>
        <w:spacing w:line="579" w:lineRule="exact"/>
        <w:ind w:firstLine="640" w:firstLineChars="200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成都市</w:t>
      </w:r>
      <w:r>
        <w:rPr>
          <w:rFonts w:ascii="Times New Roman" w:hAnsi="Times New Roman" w:eastAsia="方正仿宋_GBK" w:cs="Times New Roman"/>
          <w:sz w:val="32"/>
          <w:szCs w:val="32"/>
        </w:rPr>
        <w:t>兴贤人才咨询服务有限责任公司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兴贤人才公司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以“践行现代创新理念人才服务运用商”为愿景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秉承“兴贤育才，唯才是举”的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宗旨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，现有合作客户300余家，年服务8万余人次。公司服务聚焦公共管理、智能制造、文旅康养、现代商贸、教育医疗等众多领域，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为客户提供多元化、全方位、多层次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、高效率的人力资源外包、中高端人才寻访、人才测评与鉴定、人才派遣（代理）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、档案管理、人力资源服务产业园运维管理等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服务项目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  <w:bookmarkStart w:id="0" w:name="OLE_LINK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公司现为“人社部人力资源市场‘一线观察’项目信息采集点”，获评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“四川省诚信示范企业（2023、2024）”“四川省人力资源服务业诚信服务示范机构”“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成都市模范劳动关系和谐企业AAAAA级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”“成都市人力资源服务骨干企业”等</w:t>
      </w:r>
      <w:bookmarkEnd w:id="0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称号。</w:t>
      </w:r>
    </w:p>
    <w:p>
      <w:pPr>
        <w:spacing w:line="579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  <w:t>成都经开文旅发展有限公司简介</w:t>
      </w:r>
    </w:p>
    <w:p>
      <w:pPr>
        <w:topLinePunct/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成都经开文旅发展有限公司（以下简称“经开文旅公司”）成立于2020年12月，系成都经开产业投资集团有限公司全资二级子公司。公司深耕文商旅体领域，全力推动“文旅+”“体育+”“演艺+”产业融合发展，致力于成为西部城市文旅融合发展引领者。先后荣获“成都青年五四奖章”集体、成都市群众体育工作表现突出单位、龙泉驿区十大优秀文体旅企业等多项荣誉。</w:t>
      </w:r>
    </w:p>
    <w:p>
      <w:pPr>
        <w:topLinePunct/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公司大力践行“文旅融合大平台，公园城市运营商，美好生活引领者”的企业使命，构建景区运营管理、文体赛演打造、餐饮酒店管理、文旅项目开发四大主业，研学旅游、活动策划、营销宣传、文博文创、艺体培训、政商服务六大支撑业务。运营管理世界大运公园、东安湖公园、驿马河公园、东安书院、文化艺术中心、东安湖剧院、大运博物馆、区城市展示中心、在驿东安大酒店、经开铭臻国际大酒店等优质文商旅体项目。</w:t>
      </w:r>
    </w:p>
    <w:p>
      <w:pPr>
        <w:pStyle w:val="8"/>
        <w:rPr>
          <w:color w:val="auto"/>
        </w:rPr>
      </w:pPr>
    </w:p>
    <w:p>
      <w:pPr>
        <w:spacing w:before="215" w:line="579" w:lineRule="exact"/>
        <w:jc w:val="center"/>
        <w:outlineLvl w:val="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  <w:t>成都市龙泉驿区粮油实业有限公司简介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成都市龙泉驿区粮油实业有限公司（以下简称“粮油公司”）成立于2003年5月，是中国粮油学会储藏分会委员单位、四川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省粮食安全宣传教育基地、龙泉驿区社会科学普及基地，2023年获得“中国粮油学会第五届优秀单位会员”等荣誉称号。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粮油公司作为成都经开区（龙泉驿区）唯一承担政策性粮油储备管理的国有公益性企业，业务涵盖政策性粮油购销、储备粮油管理、粮油应急供应等领域。公司下辖龙泉驿省粮食储备库，库区占地面积120亩。公司深入落实国家粮食安全战略，不断健全完善仓容基础设施建设，充分研究和应用绿色低温储粮技术，坚持发扬粮食人“宁流千滴汗，不坏一粒粮”的核心价值观，科技储粮、依法管粮，切实守护了区域粮食安全。</w:t>
      </w:r>
    </w:p>
    <w:p>
      <w:pPr>
        <w:pStyle w:val="2"/>
        <w:spacing w:line="579" w:lineRule="exact"/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成都龙雏私募股权投资基金管理有限公司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简介</w:t>
      </w:r>
    </w:p>
    <w:p>
      <w:pPr>
        <w:spacing w:line="2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成都龙雏私募股权投资基金管理有限公司（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以下</w:t>
      </w:r>
      <w:r>
        <w:rPr>
          <w:rFonts w:ascii="Times New Roman" w:hAnsi="Times New Roman" w:eastAsia="方正仿宋_GBK" w:cs="Times New Roman"/>
          <w:sz w:val="32"/>
          <w:szCs w:val="32"/>
        </w:rPr>
        <w:t>简称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龙雏基金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公司”</w:t>
      </w:r>
      <w:r>
        <w:rPr>
          <w:rFonts w:ascii="Times New Roman" w:hAnsi="Times New Roman" w:eastAsia="方正仿宋_GBK" w:cs="Times New Roman"/>
          <w:sz w:val="32"/>
          <w:szCs w:val="32"/>
        </w:rPr>
        <w:t>）成立于2017年，注册资本5000万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</w:rPr>
        <w:t>现为</w:t>
      </w:r>
      <w:r>
        <w:rPr>
          <w:rFonts w:ascii="Times New Roman" w:hAnsi="Times New Roman" w:eastAsia="方正仿宋_GBK" w:cs="Times New Roman"/>
          <w:sz w:val="32"/>
          <w:szCs w:val="32"/>
        </w:rPr>
        <w:t>成都经开资本投资集团有限公司</w:t>
      </w:r>
      <w:r>
        <w:rPr>
          <w:rFonts w:hint="eastAsia" w:eastAsia="方正仿宋_GBK" w:cs="Times New Roman"/>
          <w:sz w:val="32"/>
          <w:szCs w:val="32"/>
        </w:rPr>
        <w:t>全资子公司</w:t>
      </w:r>
      <w:r>
        <w:rPr>
          <w:rFonts w:ascii="Times New Roman" w:hAnsi="Times New Roman" w:eastAsia="方正仿宋_GBK" w:cs="Times New Roman"/>
          <w:sz w:val="32"/>
          <w:szCs w:val="32"/>
        </w:rPr>
        <w:t>，业务范围包括基金管理、投资管理、资产管理、股权投资、创业投资等。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龙雏基金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受托管理规模100亿元的成都市龙泉驿区政府引导基金</w:t>
      </w:r>
      <w:r>
        <w:rPr>
          <w:rFonts w:hint="eastAsia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成都经开产投基金</w:t>
      </w:r>
      <w:r>
        <w:rPr>
          <w:rFonts w:hint="eastAsia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，累计设立26支规模达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近500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亿元子基金，</w:t>
      </w:r>
      <w:r>
        <w:rPr>
          <w:rFonts w:ascii="Times New Roman" w:hAnsi="Times New Roman" w:eastAsia="方正仿宋_GBK" w:cs="Times New Roman"/>
          <w:sz w:val="32"/>
          <w:szCs w:val="32"/>
        </w:rPr>
        <w:t>构建形成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横向覆盖重点产业链条、纵向贯穿企业全生命周期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的基金矩阵。协同招引落地产业项目40余个，协议投资总额逾700亿元。经开产投基金及子基金累计投资实体企业146家，其中9家已成功上市、2家已申报IPO。经开产投基金荣获清科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2024年中国区县级政府引导基金30强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等行业荣誉19项。</w:t>
      </w:r>
    </w:p>
    <w:p>
      <w:pPr>
        <w:pStyle w:val="8"/>
        <w:spacing w:line="240" w:lineRule="exact"/>
        <w:ind w:firstLine="556"/>
        <w:rPr>
          <w:rFonts w:hint="eastAsia"/>
          <w:color w:val="auto"/>
        </w:rPr>
      </w:pPr>
    </w:p>
    <w:p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</w:rPr>
        <w:t>成都经开融资担保有限公司</w:t>
      </w:r>
      <w:r>
        <w:rPr>
          <w:rFonts w:hint="eastAsia" w:ascii="方正小标宋_GBK" w:hAnsi="方正小标宋_GBK" w:eastAsia="方正小标宋_GBK" w:cs="方正小标宋_GBK"/>
          <w:spacing w:val="-17"/>
          <w:position w:val="-2"/>
          <w:sz w:val="44"/>
          <w:szCs w:val="44"/>
        </w:rPr>
        <w:t>简介</w:t>
      </w:r>
    </w:p>
    <w:p>
      <w:pPr>
        <w:pStyle w:val="8"/>
        <w:spacing w:line="240" w:lineRule="exact"/>
        <w:ind w:firstLine="556"/>
        <w:rPr>
          <w:rFonts w:hint="eastAsia"/>
          <w:color w:val="auto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成都</w:t>
      </w:r>
      <w:r>
        <w:rPr>
          <w:rFonts w:hint="eastAsia" w:eastAsia="方正仿宋_GBK" w:cs="Times New Roman"/>
          <w:sz w:val="32"/>
          <w:szCs w:val="32"/>
        </w:rPr>
        <w:t>经开</w:t>
      </w:r>
      <w:r>
        <w:rPr>
          <w:rFonts w:ascii="Times New Roman" w:hAnsi="Times New Roman" w:eastAsia="方正仿宋_GBK" w:cs="Times New Roman"/>
          <w:sz w:val="32"/>
          <w:szCs w:val="32"/>
        </w:rPr>
        <w:t>融资担保有限公司（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以下</w:t>
      </w:r>
      <w:r>
        <w:rPr>
          <w:rFonts w:ascii="Times New Roman" w:hAnsi="Times New Roman" w:eastAsia="方正仿宋_GBK" w:cs="Times New Roman"/>
          <w:sz w:val="32"/>
          <w:szCs w:val="32"/>
        </w:rPr>
        <w:t>简称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公司”</w:t>
      </w:r>
      <w:r>
        <w:rPr>
          <w:rFonts w:ascii="Times New Roman" w:hAnsi="Times New Roman" w:eastAsia="方正仿宋_GBK" w:cs="Times New Roman"/>
          <w:sz w:val="32"/>
          <w:szCs w:val="32"/>
        </w:rPr>
        <w:t>）成立于2008年，注册资本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亿元，现为成都经开资本投资集团有限公司全资子公司</w:t>
      </w:r>
      <w:r>
        <w:rPr>
          <w:rFonts w:hint="eastAsia" w:eastAsia="方正仿宋_GBK" w:cs="Times New Roman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于2023年11月</w:t>
      </w:r>
      <w:r>
        <w:rPr>
          <w:rFonts w:hint="eastAsia" w:eastAsia="方正仿宋_GBK" w:cs="Times New Roman"/>
          <w:sz w:val="32"/>
          <w:szCs w:val="32"/>
        </w:rPr>
        <w:t>入围</w:t>
      </w:r>
      <w:r>
        <w:rPr>
          <w:rFonts w:ascii="Times New Roman" w:hAnsi="Times New Roman" w:eastAsia="方正仿宋_GBK" w:cs="Times New Roman"/>
          <w:sz w:val="32"/>
          <w:szCs w:val="32"/>
        </w:rPr>
        <w:t>四川省第三批政府性融资担保机构</w:t>
      </w:r>
      <w:r>
        <w:rPr>
          <w:rFonts w:hint="eastAsia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以传统融资担保业务为主，旨在支持区域中小微企业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和“三农”</w:t>
      </w:r>
      <w:r>
        <w:rPr>
          <w:rFonts w:ascii="Times New Roman" w:hAnsi="Times New Roman" w:eastAsia="方正仿宋_GBK" w:cs="Times New Roman"/>
          <w:sz w:val="32"/>
          <w:szCs w:val="32"/>
        </w:rPr>
        <w:t>发展，现有产品体系包括传统流动资金贷款、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“惠蓉贷·驿享贷”“驿享贷·驿农贷”等，同时推出“总对总”“蜀担快贷”“天府产业贷”等</w:t>
      </w:r>
      <w:r>
        <w:rPr>
          <w:rFonts w:ascii="Times New Roman" w:hAnsi="Times New Roman" w:eastAsia="方正仿宋_GBK" w:cs="Times New Roman"/>
          <w:sz w:val="32"/>
          <w:szCs w:val="32"/>
        </w:rPr>
        <w:t>批量业务系列产品，不断提高支持普惠金融的覆盖面和精准度。成立至今，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已累计服务中小微企业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和“三农”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客户</w:t>
      </w:r>
      <w:r>
        <w:rPr>
          <w:rFonts w:hint="eastAsia" w:eastAsia="方正仿宋_GBK" w:cs="Times New Roman"/>
          <w:kern w:val="0"/>
          <w:sz w:val="32"/>
          <w:szCs w:val="32"/>
        </w:rPr>
        <w:t>超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eastAsia="方正仿宋_GBK" w:cs="Times New Roman"/>
          <w:kern w:val="0"/>
          <w:sz w:val="32"/>
          <w:szCs w:val="32"/>
        </w:rPr>
        <w:t>万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户，先后为龙泉驿区及省内企业提供融资担保金额逾100亿元，担保费率持续控制在1%以内。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已与1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家银行建立合作关系，授信额度超过84亿元</w:t>
      </w:r>
      <w:r>
        <w:rPr>
          <w:rFonts w:hint="eastAsia" w:eastAsia="方正仿宋_GBK" w:cs="Times New Roman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主体信用评级AA</w:t>
      </w:r>
      <w:r>
        <w:rPr>
          <w:rFonts w:hint="eastAsia" w:eastAsia="方正仿宋_GBK" w:cs="Times New Roman"/>
          <w:sz w:val="32"/>
          <w:szCs w:val="32"/>
        </w:rPr>
        <w:t>，先后获得省市担保协会和省市再担保公司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“创新先锋奖”“普惠信贷奖”“高质量合作示范机构”“最佳合作伙伴”等荣誉。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7" w:h="16839"/>
      <w:pgMar w:top="2098" w:right="1474" w:bottom="1984" w:left="1588" w:header="0" w:footer="1701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47D6762-0FF6-4252-BB40-989E67BB34A4}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696B70D-32A6-4E15-A2AF-C081AF73146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9716B1E-A18A-44F9-8C47-04A1C8A24662}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mU5OThkNzFlOTM4M2I2YzRlYjE1OWIzNmM1MjIifQ=="/>
    <w:docVar w:name="KSO_WPS_MARK_KEY" w:val="b85d61f3-1138-4261-b78b-4efe7a3b1a1a"/>
  </w:docVars>
  <w:rsids>
    <w:rsidRoot w:val="1E717C60"/>
    <w:rsid w:val="00043144"/>
    <w:rsid w:val="0023625C"/>
    <w:rsid w:val="006E6D1A"/>
    <w:rsid w:val="00840054"/>
    <w:rsid w:val="00DA4C25"/>
    <w:rsid w:val="013E70FC"/>
    <w:rsid w:val="014001AC"/>
    <w:rsid w:val="0146206D"/>
    <w:rsid w:val="01775B6B"/>
    <w:rsid w:val="020A533B"/>
    <w:rsid w:val="02521098"/>
    <w:rsid w:val="04BF4C57"/>
    <w:rsid w:val="057A1088"/>
    <w:rsid w:val="05834EBD"/>
    <w:rsid w:val="073836D3"/>
    <w:rsid w:val="0861149B"/>
    <w:rsid w:val="089B03BE"/>
    <w:rsid w:val="0A861281"/>
    <w:rsid w:val="0B122E68"/>
    <w:rsid w:val="0C536DB4"/>
    <w:rsid w:val="0D9321D9"/>
    <w:rsid w:val="0E515D90"/>
    <w:rsid w:val="0ED463D8"/>
    <w:rsid w:val="11C301B1"/>
    <w:rsid w:val="12A27806"/>
    <w:rsid w:val="131D0F7E"/>
    <w:rsid w:val="14980A49"/>
    <w:rsid w:val="153E0A4F"/>
    <w:rsid w:val="154C0236"/>
    <w:rsid w:val="17912EB8"/>
    <w:rsid w:val="17B04F4B"/>
    <w:rsid w:val="184719C8"/>
    <w:rsid w:val="18860DEE"/>
    <w:rsid w:val="189B0DEC"/>
    <w:rsid w:val="18A372C8"/>
    <w:rsid w:val="18B37EC4"/>
    <w:rsid w:val="19232435"/>
    <w:rsid w:val="1998586B"/>
    <w:rsid w:val="19EC54DE"/>
    <w:rsid w:val="1A6B4A83"/>
    <w:rsid w:val="1A9E7E4D"/>
    <w:rsid w:val="1C623275"/>
    <w:rsid w:val="1E3E73CD"/>
    <w:rsid w:val="1E717C60"/>
    <w:rsid w:val="1E864B2B"/>
    <w:rsid w:val="1F0541C9"/>
    <w:rsid w:val="1FB61837"/>
    <w:rsid w:val="1FE86F2F"/>
    <w:rsid w:val="2041418D"/>
    <w:rsid w:val="22B13ED6"/>
    <w:rsid w:val="236B19AC"/>
    <w:rsid w:val="23F964DC"/>
    <w:rsid w:val="24997A50"/>
    <w:rsid w:val="24B7295B"/>
    <w:rsid w:val="252B6260"/>
    <w:rsid w:val="26213859"/>
    <w:rsid w:val="265E1855"/>
    <w:rsid w:val="2BCA60B6"/>
    <w:rsid w:val="2BEA3053"/>
    <w:rsid w:val="2C536EE2"/>
    <w:rsid w:val="2CC42891"/>
    <w:rsid w:val="2E367018"/>
    <w:rsid w:val="2EEA2380"/>
    <w:rsid w:val="2F6437D9"/>
    <w:rsid w:val="2FF10740"/>
    <w:rsid w:val="30353ACC"/>
    <w:rsid w:val="30384FB8"/>
    <w:rsid w:val="31436D79"/>
    <w:rsid w:val="32B26608"/>
    <w:rsid w:val="331254DA"/>
    <w:rsid w:val="33DE1733"/>
    <w:rsid w:val="35784714"/>
    <w:rsid w:val="35EB2255"/>
    <w:rsid w:val="36154468"/>
    <w:rsid w:val="37BD10EF"/>
    <w:rsid w:val="37C8622A"/>
    <w:rsid w:val="396535C3"/>
    <w:rsid w:val="3AD44EE6"/>
    <w:rsid w:val="3CC619D0"/>
    <w:rsid w:val="3CE45FF1"/>
    <w:rsid w:val="3DED49F1"/>
    <w:rsid w:val="3E0103E7"/>
    <w:rsid w:val="3FC671DB"/>
    <w:rsid w:val="3FCF3ECE"/>
    <w:rsid w:val="3FD51670"/>
    <w:rsid w:val="416E10BA"/>
    <w:rsid w:val="430A0D31"/>
    <w:rsid w:val="439F61E6"/>
    <w:rsid w:val="43D96089"/>
    <w:rsid w:val="443768B7"/>
    <w:rsid w:val="448D2AFB"/>
    <w:rsid w:val="449000D0"/>
    <w:rsid w:val="476B335D"/>
    <w:rsid w:val="47F73722"/>
    <w:rsid w:val="48BA44A8"/>
    <w:rsid w:val="4C570E1C"/>
    <w:rsid w:val="4C643F37"/>
    <w:rsid w:val="4D0D3D8C"/>
    <w:rsid w:val="4DE90850"/>
    <w:rsid w:val="4F425EAC"/>
    <w:rsid w:val="4F5A6371"/>
    <w:rsid w:val="501F6C44"/>
    <w:rsid w:val="51B55619"/>
    <w:rsid w:val="52C8137C"/>
    <w:rsid w:val="52FC234A"/>
    <w:rsid w:val="55CF6563"/>
    <w:rsid w:val="564D72DB"/>
    <w:rsid w:val="566D1F74"/>
    <w:rsid w:val="56A702D4"/>
    <w:rsid w:val="573E53C4"/>
    <w:rsid w:val="5A251D2B"/>
    <w:rsid w:val="5B1F1D55"/>
    <w:rsid w:val="5B773940"/>
    <w:rsid w:val="5BD01EF1"/>
    <w:rsid w:val="5BD3501A"/>
    <w:rsid w:val="5C8173C7"/>
    <w:rsid w:val="5EFF7ED4"/>
    <w:rsid w:val="60966616"/>
    <w:rsid w:val="60C05441"/>
    <w:rsid w:val="60E64718"/>
    <w:rsid w:val="61135EB8"/>
    <w:rsid w:val="612C5F0B"/>
    <w:rsid w:val="612D32C0"/>
    <w:rsid w:val="61AE1526"/>
    <w:rsid w:val="64CB5501"/>
    <w:rsid w:val="66DB4D83"/>
    <w:rsid w:val="677029E7"/>
    <w:rsid w:val="6773145F"/>
    <w:rsid w:val="68365042"/>
    <w:rsid w:val="684D75AC"/>
    <w:rsid w:val="68AB2E7A"/>
    <w:rsid w:val="6A4847B4"/>
    <w:rsid w:val="6AF96B04"/>
    <w:rsid w:val="6B320B1E"/>
    <w:rsid w:val="6B450135"/>
    <w:rsid w:val="6B753F21"/>
    <w:rsid w:val="6C6F359A"/>
    <w:rsid w:val="6C8D4CA9"/>
    <w:rsid w:val="6D692236"/>
    <w:rsid w:val="6FE06CE5"/>
    <w:rsid w:val="716C3304"/>
    <w:rsid w:val="71C21E11"/>
    <w:rsid w:val="71F31198"/>
    <w:rsid w:val="7245651F"/>
    <w:rsid w:val="728B1D53"/>
    <w:rsid w:val="72A54277"/>
    <w:rsid w:val="734A5941"/>
    <w:rsid w:val="76AC4CD3"/>
    <w:rsid w:val="773F135E"/>
    <w:rsid w:val="79A16CE7"/>
    <w:rsid w:val="79D06A3F"/>
    <w:rsid w:val="7A355C37"/>
    <w:rsid w:val="7A552C46"/>
    <w:rsid w:val="7B022DCE"/>
    <w:rsid w:val="7DFE1FD7"/>
    <w:rsid w:val="7E1D5CA3"/>
    <w:rsid w:val="7E933D3D"/>
    <w:rsid w:val="7F0A2251"/>
    <w:rsid w:val="7F1D46FF"/>
    <w:rsid w:val="7F2C7545"/>
    <w:rsid w:val="7FAA4F84"/>
    <w:rsid w:val="7FFB858E"/>
    <w:rsid w:val="FF90C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7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extAlignment w:val="baseline"/>
    </w:pPr>
    <w:rPr>
      <w:rFonts w:ascii="仿宋_GB2312" w:hAnsi="MS Sans Serif" w:eastAsia="仿宋_GB2312"/>
      <w:sz w:val="24"/>
      <w:szCs w:val="20"/>
    </w:rPr>
  </w:style>
  <w:style w:type="paragraph" w:styleId="7">
    <w:name w:val="Body Text First Indent"/>
    <w:basedOn w:val="1"/>
    <w:autoRedefine/>
    <w:qFormat/>
    <w:uiPriority w:val="0"/>
    <w:pPr>
      <w:widowControl w:val="0"/>
      <w:adjustRightInd w:val="0"/>
      <w:snapToGrid w:val="0"/>
      <w:spacing w:line="800" w:lineRule="exact"/>
      <w:ind w:firstLine="420" w:firstLineChars="100"/>
      <w:jc w:val="center"/>
    </w:pPr>
    <w:rPr>
      <w:rFonts w:ascii="方正小标宋简体" w:hAnsi="Times New Roman" w:eastAsia="方正小标宋简体" w:cs="Times New Roman"/>
      <w:kern w:val="2"/>
      <w:sz w:val="44"/>
      <w:szCs w:val="24"/>
      <w:lang w:val="en-US" w:eastAsia="zh-CN" w:bidi="ar-SA"/>
    </w:rPr>
  </w:style>
  <w:style w:type="paragraph" w:styleId="8">
    <w:name w:val="Body Text Indent"/>
    <w:basedOn w:val="1"/>
    <w:autoRedefine/>
    <w:unhideWhenUsed/>
    <w:qFormat/>
    <w:uiPriority w:val="99"/>
    <w:pPr>
      <w:widowControl w:val="0"/>
      <w:spacing w:line="480" w:lineRule="exact"/>
      <w:ind w:firstLine="555"/>
      <w:jc w:val="both"/>
    </w:pPr>
    <w:rPr>
      <w:rFonts w:ascii="宋体" w:hAnsi="@宋体" w:eastAsia="宋体" w:cs="Times New Roman"/>
      <w:snapToGrid w:val="0"/>
      <w:color w:val="000000"/>
      <w:kern w:val="2"/>
      <w:sz w:val="21"/>
      <w:szCs w:val="22"/>
      <w:lang w:val="en-US" w:eastAsia="zh-CN" w:bidi="ar-SA"/>
    </w:rPr>
  </w:style>
  <w:style w:type="paragraph" w:styleId="9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10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customStyle="1" w:styleId="16">
    <w:name w:val="font11"/>
    <w:basedOn w:val="14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7">
    <w:name w:val="font31"/>
    <w:basedOn w:val="1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8">
    <w:name w:val="font41"/>
    <w:basedOn w:val="1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39c91e59-7eea-411e-9916-b9ebf1b5d4c1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162A58CA</paraID>
      <start>13</start>
      <end>17</end>
      <status>unmodified</status>
      <modifiedWord/>
      <trackRevisions>false</trackRevisions>
    </reviewItem>
    <reviewItem>
      <errorID>fe1ff74b-9f7e-44f1-ace1-dd2e88e030ce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39AD7273</paraID>
      <start>33</start>
      <end>36</end>
      <status>unmodified</status>
      <modifiedWord/>
      <trackRevisions>false</trackRevisions>
    </reviewItem>
    <reviewItem>
      <errorID>aaee540b-9871-430b-9324-9074a88e1b3c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39AD7273</paraID>
      <start>67</start>
      <end>68</end>
      <status>unmodified</status>
      <modifiedWord/>
      <trackRevisions>false</trackRevisions>
    </reviewItem>
    <reviewItem>
      <errorID>910828b2-6876-4321-97b4-6dfc5a77b9b5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39AD7273</paraID>
      <start>69</start>
      <end>70</end>
      <status>unmodified</status>
      <modifiedWord/>
      <trackRevisions>false</trackRevisions>
    </reviewItem>
    <reviewItem>
      <errorID>e41c60cd-c103-4394-8380-10906cb0cc57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1682878A</paraID>
      <start>54</start>
      <end>57</end>
      <status>unmodified</status>
      <modifiedWord/>
      <trackRevisions>false</trackRevisions>
    </reviewItem>
    <reviewItem>
      <errorID>5bff9d10-4666-4fc9-9367-e3ebcfa93843</errorID>
      <errorWord>安全生产双岗制</errorWord>
      <group>L1_Political</group>
      <groupName>政治性问题</groupName>
      <ability>L2_Keyword</ability>
      <abilityName>固定表述</abilityName>
      <candidateList>
        <item>安全生产责任制</item>
      </candidateList>
      <explain>词汇“安全生产责任制”在特定场景下为固定表述形式，请确认此处的“安全生产双岗制”是否存在不当。</explain>
      <paraID>47671A72</paraID>
      <start>6</start>
      <end>13</end>
      <status>unmodified</status>
      <modifiedWord/>
      <trackRevisions>false</trackRevisions>
    </reviewItem>
    <reviewItem>
      <errorID>412df7b0-ba99-49ed-b101-b197e3782b28</errorID>
      <errorWord>替检</errorWord>
      <group>L1_Word</group>
      <groupName>字词问题</groupName>
      <ability>L2_Typo</ability>
      <abilityName>字词错误</abilityName>
      <candidateList>
        <item>体检</item>
      </candidateList>
      <explain/>
      <paraID>5175E95C</paraID>
      <start>58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2e302-475b-4f8e-8349-8edc0c7a2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11864</Words>
  <Characters>12728</Characters>
  <Lines>34</Lines>
  <Paragraphs>9</Paragraphs>
  <TotalTime>0</TotalTime>
  <ScaleCrop>false</ScaleCrop>
  <LinksUpToDate>false</LinksUpToDate>
  <CharactersWithSpaces>12756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2023-08-24T14:03:00Z</dcterms:created>
  <dc:creator>李霜</dc:creator>
  <cp:lastModifiedBy>Kureha</cp:lastModifiedBy>
  <cp:lastPrinted>2025-12-08T08:28:00Z</cp:lastPrinted>
  <dcterms:modified xsi:type="dcterms:W3CDTF">2025-12-11T03:20:41Z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A390A4E3DAFC4FEDB04636CE7A0DDAC3_13</vt:lpwstr>
  </property>
  <property fmtid="{D5CDD505-2E9C-101B-9397-08002B2CF9AE}" pid="4" name="KSOTemplateDocerSaveRecord">
    <vt:lpwstr>eyJoZGlkIjoiN2UyM2U0NDFiNzMyNzViMDM3MTQwYzUzYzUwYWYwMDUiLCJ1c2VySWQiOiIxNDg0NTY4MTQyIn0=</vt:lpwstr>
  </property>
</Properties>
</file>