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DB9CC" w14:textId="77777777" w:rsidR="00D22B17" w:rsidRDefault="00D22B17" w:rsidP="00D22B17">
      <w:pPr>
        <w:spacing w:line="560" w:lineRule="exact"/>
        <w:rPr>
          <w:rFonts w:ascii="黑体" w:eastAsia="黑体" w:hAnsi="黑体" w:cs="黑体"/>
          <w:snapToGrid w:val="0"/>
          <w:color w:val="000000"/>
        </w:rPr>
      </w:pPr>
      <w:bookmarkStart w:id="0" w:name="OLE_LINK13"/>
      <w:bookmarkStart w:id="1" w:name="OLE_LINK14"/>
      <w:r>
        <w:rPr>
          <w:rFonts w:ascii="黑体" w:eastAsia="黑体" w:hAnsi="黑体" w:cs="黑体" w:hint="eastAsia"/>
          <w:snapToGrid w:val="0"/>
          <w:color w:val="000000"/>
        </w:rPr>
        <w:t>附件2</w:t>
      </w:r>
    </w:p>
    <w:p w14:paraId="7C6DA870" w14:textId="77777777" w:rsidR="00D22B17" w:rsidRDefault="00D22B17" w:rsidP="00D22B17">
      <w:pPr>
        <w:spacing w:line="560" w:lineRule="exact"/>
        <w:jc w:val="center"/>
        <w:rPr>
          <w:rFonts w:ascii="宋体" w:hAnsi="宋体" w:cs="宋体"/>
          <w:snapToGrid w:val="0"/>
          <w:spacing w:val="-2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pacing w:val="-20"/>
          <w:sz w:val="44"/>
          <w:szCs w:val="44"/>
        </w:rPr>
        <w:t>井冈山管理局专业森林消防队招聘体能考核细则</w:t>
      </w:r>
    </w:p>
    <w:tbl>
      <w:tblPr>
        <w:tblpPr w:leftFromText="180" w:rightFromText="180" w:vertAnchor="text" w:horzAnchor="page" w:tblpX="1056" w:tblpY="714"/>
        <w:tblOverlap w:val="never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976"/>
        <w:gridCol w:w="695"/>
        <w:gridCol w:w="2725"/>
        <w:gridCol w:w="3756"/>
        <w:gridCol w:w="1038"/>
      </w:tblGrid>
      <w:tr w:rsidR="00D22B17" w14:paraId="4928D69B" w14:textId="77777777" w:rsidTr="00337833">
        <w:trPr>
          <w:cantSplit/>
          <w:trHeight w:val="927"/>
        </w:trPr>
        <w:tc>
          <w:tcPr>
            <w:tcW w:w="1124" w:type="dxa"/>
            <w:shd w:val="clear" w:color="auto" w:fill="auto"/>
            <w:noWrap/>
            <w:vAlign w:val="center"/>
          </w:tcPr>
          <w:p w14:paraId="15E3CF05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  <w:lang w:bidi="ar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考核</w:t>
            </w:r>
          </w:p>
          <w:p w14:paraId="5F89AFE2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内容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402D4C5D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  <w:lang w:bidi="ar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考核</w:t>
            </w:r>
          </w:p>
          <w:p w14:paraId="24D76EC4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项目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14:paraId="77C12D04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分值</w:t>
            </w:r>
          </w:p>
        </w:tc>
        <w:tc>
          <w:tcPr>
            <w:tcW w:w="2725" w:type="dxa"/>
            <w:shd w:val="clear" w:color="auto" w:fill="FFFFFF"/>
            <w:noWrap/>
            <w:vAlign w:val="center"/>
          </w:tcPr>
          <w:p w14:paraId="48E8EE29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考核标准</w:t>
            </w:r>
          </w:p>
        </w:tc>
        <w:tc>
          <w:tcPr>
            <w:tcW w:w="3756" w:type="dxa"/>
            <w:shd w:val="clear" w:color="auto" w:fill="FFFFFF"/>
            <w:noWrap/>
            <w:vAlign w:val="center"/>
          </w:tcPr>
          <w:p w14:paraId="2B05708A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评分标准</w:t>
            </w:r>
          </w:p>
        </w:tc>
        <w:tc>
          <w:tcPr>
            <w:tcW w:w="1038" w:type="dxa"/>
            <w:shd w:val="clear" w:color="auto" w:fill="FFFFFF"/>
            <w:noWrap/>
            <w:vAlign w:val="center"/>
          </w:tcPr>
          <w:p w14:paraId="0ABB2937" w14:textId="77777777" w:rsidR="00D22B17" w:rsidRDefault="00D22B17" w:rsidP="00337833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napToGrid w:val="0"/>
                <w:color w:val="000000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lang w:bidi="ar"/>
              </w:rPr>
              <w:t>备注</w:t>
            </w:r>
          </w:p>
        </w:tc>
      </w:tr>
      <w:tr w:rsidR="00D22B17" w14:paraId="599BE7D4" w14:textId="77777777" w:rsidTr="00337833">
        <w:trPr>
          <w:cantSplit/>
          <w:trHeight w:val="8687"/>
        </w:trPr>
        <w:tc>
          <w:tcPr>
            <w:tcW w:w="1124" w:type="dxa"/>
            <w:vMerge w:val="restart"/>
            <w:shd w:val="clear" w:color="auto" w:fill="auto"/>
            <w:noWrap/>
            <w:vAlign w:val="center"/>
          </w:tcPr>
          <w:p w14:paraId="3EBDD7EB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基础</w:t>
            </w:r>
          </w:p>
          <w:p w14:paraId="14112385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体能</w:t>
            </w:r>
          </w:p>
        </w:tc>
        <w:tc>
          <w:tcPr>
            <w:tcW w:w="976" w:type="dxa"/>
            <w:shd w:val="clear" w:color="auto" w:fill="FFFFFF"/>
            <w:noWrap/>
            <w:vAlign w:val="center"/>
          </w:tcPr>
          <w:p w14:paraId="708C744A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单杠引体向上</w:t>
            </w:r>
          </w:p>
        </w:tc>
        <w:tc>
          <w:tcPr>
            <w:tcW w:w="695" w:type="dxa"/>
            <w:shd w:val="clear" w:color="auto" w:fill="FFFFFF"/>
            <w:noWrap/>
            <w:vAlign w:val="center"/>
          </w:tcPr>
          <w:p w14:paraId="575625F4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25" w:type="dxa"/>
            <w:shd w:val="clear" w:color="auto" w:fill="FFFFFF"/>
            <w:noWrap/>
            <w:vAlign w:val="center"/>
          </w:tcPr>
          <w:p w14:paraId="1EFAF136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两手正握单杠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，双手间距比肩稍宽，呈直臂悬垂姿势。做引体动作时下颌超过杠面，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做臂悬垂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动作时两臂自然伸直。从双手握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杠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开始，到双手离杠 为考试结束，以连续完成的引体次数计取成绩，作业时间不超过3分钟。</w:t>
            </w:r>
          </w:p>
        </w:tc>
        <w:tc>
          <w:tcPr>
            <w:tcW w:w="3756" w:type="dxa"/>
            <w:shd w:val="clear" w:color="auto" w:fill="FFFFFF"/>
            <w:noWrap/>
            <w:vAlign w:val="center"/>
          </w:tcPr>
          <w:p w14:paraId="1C0469DA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根据年龄段进行评分。25岁以下，完成11个的，计10分，每增加1个加0.2分，每减少1个扣0.2分。25-29岁，完成9个的，计10分，每增加1个加0.2分，每减少1个扣0.2分。30-34岁，完成7个的，计10分，每增加1个加0.2分，每减少1个扣0.2分。</w:t>
            </w:r>
          </w:p>
          <w:p w14:paraId="705DA3BD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1.双手脱落单杠或脚触及地面时考核结束，计入最后一个有效成绩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；</w:t>
            </w:r>
          </w:p>
          <w:p w14:paraId="535F77CE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2.下额未过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杠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面的不计个数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；</w:t>
            </w:r>
          </w:p>
          <w:p w14:paraId="1083F447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3.下落时手臂未放垂直的不计个数。</w:t>
            </w:r>
          </w:p>
        </w:tc>
        <w:tc>
          <w:tcPr>
            <w:tcW w:w="1038" w:type="dxa"/>
            <w:shd w:val="clear" w:color="auto" w:fill="FFFFFF"/>
            <w:noWrap/>
            <w:vAlign w:val="center"/>
          </w:tcPr>
          <w:p w14:paraId="313F047C" w14:textId="77777777" w:rsidR="00D22B17" w:rsidRDefault="00D22B17" w:rsidP="00337833">
            <w:pPr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全体参加，逐个施考</w:t>
            </w:r>
          </w:p>
        </w:tc>
      </w:tr>
      <w:tr w:rsidR="00D22B17" w14:paraId="426B22C8" w14:textId="77777777" w:rsidTr="00337833">
        <w:trPr>
          <w:cantSplit/>
          <w:trHeight w:val="5216"/>
        </w:trPr>
        <w:tc>
          <w:tcPr>
            <w:tcW w:w="1124" w:type="dxa"/>
            <w:vMerge/>
            <w:shd w:val="clear" w:color="auto" w:fill="auto"/>
            <w:noWrap/>
            <w:vAlign w:val="center"/>
          </w:tcPr>
          <w:p w14:paraId="4D19A79A" w14:textId="77777777" w:rsidR="00D22B17" w:rsidRDefault="00D22B17" w:rsidP="00337833">
            <w:pPr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shd w:val="clear" w:color="auto" w:fill="FFFFFF"/>
            <w:noWrap/>
            <w:vAlign w:val="center"/>
          </w:tcPr>
          <w:p w14:paraId="6C3F94E3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双杠臂屈伸</w:t>
            </w:r>
          </w:p>
        </w:tc>
        <w:tc>
          <w:tcPr>
            <w:tcW w:w="695" w:type="dxa"/>
            <w:shd w:val="clear" w:color="auto" w:fill="FFFFFF"/>
            <w:noWrap/>
            <w:vAlign w:val="center"/>
          </w:tcPr>
          <w:p w14:paraId="5E3FAF6A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25" w:type="dxa"/>
            <w:shd w:val="clear" w:color="auto" w:fill="FFFFFF"/>
            <w:noWrap/>
            <w:vAlign w:val="center"/>
          </w:tcPr>
          <w:p w14:paraId="4C396586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双手撑于身体两侧，完成时身体前倾，下放时能在侧面偏后的位置形成大小臂90度。</w:t>
            </w:r>
          </w:p>
        </w:tc>
        <w:tc>
          <w:tcPr>
            <w:tcW w:w="3756" w:type="dxa"/>
            <w:shd w:val="clear" w:color="auto" w:fill="FFFFFF"/>
            <w:noWrap/>
            <w:vAlign w:val="center"/>
          </w:tcPr>
          <w:p w14:paraId="50F8B4B9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根据年龄段进行评分。25岁以下，完成14个的，计10分，每增加1个加0.2分，每减少1个扣0.2分。25-29岁，完成12个的，计10分，每增加1个加0.2分，每减少1个扣0.2分。30-34岁，完成10个的，计10分，每增加1个加0.2分，每减少1个扣0.2分。</w:t>
            </w:r>
          </w:p>
          <w:p w14:paraId="7039FE63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1.双手脱落双杠或脚触及地面时考核结束，计入最后一个有效成绩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；</w:t>
            </w:r>
          </w:p>
          <w:p w14:paraId="7BE10C5B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2.双手曲臂时弯曲小于50%不计个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数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。</w:t>
            </w:r>
          </w:p>
        </w:tc>
        <w:tc>
          <w:tcPr>
            <w:tcW w:w="1038" w:type="dxa"/>
            <w:shd w:val="clear" w:color="auto" w:fill="FFFFFF"/>
            <w:noWrap/>
            <w:vAlign w:val="center"/>
          </w:tcPr>
          <w:p w14:paraId="03A3EA96" w14:textId="77777777" w:rsidR="00D22B17" w:rsidRDefault="00D22B17" w:rsidP="00337833">
            <w:pPr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全体参加，逐个施考</w:t>
            </w:r>
          </w:p>
        </w:tc>
      </w:tr>
      <w:tr w:rsidR="00D22B17" w14:paraId="29180E59" w14:textId="77777777" w:rsidTr="00337833">
        <w:trPr>
          <w:cantSplit/>
          <w:trHeight w:val="5981"/>
        </w:trPr>
        <w:tc>
          <w:tcPr>
            <w:tcW w:w="1124" w:type="dxa"/>
            <w:vMerge/>
            <w:noWrap/>
            <w:vAlign w:val="center"/>
          </w:tcPr>
          <w:p w14:paraId="23222587" w14:textId="77777777" w:rsidR="00D22B17" w:rsidRDefault="00D22B17" w:rsidP="00337833">
            <w:pPr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noWrap/>
            <w:vAlign w:val="center"/>
          </w:tcPr>
          <w:p w14:paraId="700681D5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俯卧撑</w:t>
            </w:r>
          </w:p>
        </w:tc>
        <w:tc>
          <w:tcPr>
            <w:tcW w:w="695" w:type="dxa"/>
            <w:noWrap/>
            <w:vAlign w:val="center"/>
          </w:tcPr>
          <w:p w14:paraId="44AFC7C2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25" w:type="dxa"/>
            <w:noWrap/>
            <w:vAlign w:val="center"/>
          </w:tcPr>
          <w:p w14:paraId="268F2F3A" w14:textId="77777777" w:rsidR="00D22B17" w:rsidRDefault="00D22B17" w:rsidP="00337833">
            <w:pPr>
              <w:ind w:firstLineChars="200" w:firstLine="480"/>
              <w:textAlignment w:val="center"/>
              <w:rPr>
                <w:rStyle w:val="font21"/>
                <w:rFonts w:ascii="宋体" w:hAnsi="宋体" w:cs="宋体"/>
                <w:snapToGrid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1.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挺胸收腹，躯干与腿部保持一条直线；</w:t>
            </w:r>
          </w:p>
          <w:p w14:paraId="5E137E10" w14:textId="77777777" w:rsidR="00D22B17" w:rsidRDefault="00D22B17" w:rsidP="00337833">
            <w:pPr>
              <w:ind w:firstLineChars="200" w:firstLine="480"/>
              <w:textAlignment w:val="center"/>
              <w:rPr>
                <w:rStyle w:val="font21"/>
                <w:rFonts w:ascii="宋体" w:hAnsi="宋体" w:cs="宋体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2.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手臂自然伸直垂直于地面；</w:t>
            </w:r>
          </w:p>
          <w:p w14:paraId="2CD81C48" w14:textId="77777777" w:rsidR="00D22B17" w:rsidRDefault="00D22B17" w:rsidP="00337833">
            <w:pPr>
              <w:ind w:firstLineChars="200" w:firstLine="480"/>
              <w:textAlignment w:val="center"/>
              <w:rPr>
                <w:rStyle w:val="font21"/>
                <w:rFonts w:ascii="宋体" w:hAnsi="宋体" w:cs="宋体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3.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双手与肩同宽，始终保持腰背挺直，控制肘部紧贴身体两侧；</w:t>
            </w:r>
          </w:p>
          <w:p w14:paraId="79C1C248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4.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向下弯曲时小臂曲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90</w:t>
            </w:r>
            <w:r>
              <w:rPr>
                <w:rStyle w:val="font21"/>
                <w:rFonts w:ascii="宋体" w:hAnsi="宋体" w:cs="宋体" w:hint="eastAsia"/>
                <w:snapToGrid w:val="0"/>
                <w:sz w:val="24"/>
                <w:szCs w:val="24"/>
                <w:lang w:bidi="ar"/>
              </w:rPr>
              <w:t>度。</w:t>
            </w:r>
          </w:p>
        </w:tc>
        <w:tc>
          <w:tcPr>
            <w:tcW w:w="3756" w:type="dxa"/>
            <w:noWrap/>
            <w:vAlign w:val="center"/>
          </w:tcPr>
          <w:p w14:paraId="194732FA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根据年龄段进行评分。25岁以下，完成50个的，计10分，每增加1个加0.2分，每减少1个扣0.2分。25-29岁，完成48个的，计10分，每增加1个加0.2分，每减少1个扣0.2分。30-34岁，完成46个的，计10分，每增加1个加0.2分，每减少1个扣0.2分。</w:t>
            </w:r>
          </w:p>
        </w:tc>
        <w:tc>
          <w:tcPr>
            <w:tcW w:w="1038" w:type="dxa"/>
            <w:noWrap/>
            <w:vAlign w:val="center"/>
          </w:tcPr>
          <w:p w14:paraId="5B7B6D2C" w14:textId="77777777" w:rsidR="00D22B17" w:rsidRDefault="00D22B17" w:rsidP="00337833">
            <w:pPr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全体参加，逐个施考</w:t>
            </w:r>
          </w:p>
        </w:tc>
      </w:tr>
      <w:tr w:rsidR="00D22B17" w14:paraId="20A0ED1A" w14:textId="77777777" w:rsidTr="00337833">
        <w:trPr>
          <w:cantSplit/>
          <w:trHeight w:val="5643"/>
        </w:trPr>
        <w:tc>
          <w:tcPr>
            <w:tcW w:w="1124" w:type="dxa"/>
            <w:vMerge/>
            <w:shd w:val="clear" w:color="auto" w:fill="auto"/>
            <w:noWrap/>
            <w:vAlign w:val="center"/>
          </w:tcPr>
          <w:p w14:paraId="1AEB2C40" w14:textId="77777777" w:rsidR="00D22B17" w:rsidRDefault="00D22B17" w:rsidP="00337833">
            <w:pPr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shd w:val="clear" w:color="auto" w:fill="FFFFFF"/>
            <w:noWrap/>
            <w:vAlign w:val="center"/>
          </w:tcPr>
          <w:p w14:paraId="4B0D4467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3000米跑</w:t>
            </w:r>
          </w:p>
        </w:tc>
        <w:tc>
          <w:tcPr>
            <w:tcW w:w="695" w:type="dxa"/>
            <w:shd w:val="clear" w:color="auto" w:fill="FFFFFF"/>
            <w:noWrap/>
            <w:vAlign w:val="center"/>
          </w:tcPr>
          <w:p w14:paraId="57060340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2725" w:type="dxa"/>
            <w:shd w:val="clear" w:color="auto" w:fill="FFFFFF"/>
            <w:noWrap/>
            <w:vAlign w:val="center"/>
          </w:tcPr>
          <w:p w14:paraId="1CB7944E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3000米徒跑，从队员听到信号开始 起跑并计时，按要求跑完3000米所用的时间为其考核成绩。</w:t>
            </w:r>
          </w:p>
        </w:tc>
        <w:tc>
          <w:tcPr>
            <w:tcW w:w="3756" w:type="dxa"/>
            <w:shd w:val="clear" w:color="auto" w:fill="FFFFFF"/>
            <w:noWrap/>
            <w:vAlign w:val="center"/>
          </w:tcPr>
          <w:p w14:paraId="49C136F2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根据年龄段进行评分。25岁以下，13分40秒完成，计30分，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每快1秒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加0.1分，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每慢1秒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扣0.1分。25-29岁，14分40秒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完成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，计30分，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加0.1分，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每慢1秒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扣0.1分。30-34岁，15分40秒完成，计30分，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每快1秒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加0.1分，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每慢1秒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扣0.1分。</w:t>
            </w:r>
          </w:p>
        </w:tc>
        <w:tc>
          <w:tcPr>
            <w:tcW w:w="1038" w:type="dxa"/>
            <w:shd w:val="clear" w:color="auto" w:fill="FFFFFF"/>
            <w:noWrap/>
            <w:vAlign w:val="center"/>
          </w:tcPr>
          <w:p w14:paraId="1465CE1D" w14:textId="77777777" w:rsidR="00D22B17" w:rsidRDefault="00D22B17" w:rsidP="00337833">
            <w:pPr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全体参加，逐个施考</w:t>
            </w:r>
          </w:p>
        </w:tc>
      </w:tr>
      <w:tr w:rsidR="00D22B17" w14:paraId="7CB8074F" w14:textId="77777777" w:rsidTr="00337833">
        <w:trPr>
          <w:cantSplit/>
          <w:trHeight w:val="5016"/>
        </w:trPr>
        <w:tc>
          <w:tcPr>
            <w:tcW w:w="1124" w:type="dxa"/>
            <w:vMerge/>
            <w:shd w:val="clear" w:color="auto" w:fill="auto"/>
            <w:noWrap/>
            <w:vAlign w:val="center"/>
          </w:tcPr>
          <w:p w14:paraId="58B4CB9F" w14:textId="77777777" w:rsidR="00D22B17" w:rsidRDefault="00D22B17" w:rsidP="00337833">
            <w:pPr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2AF4700D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100米跑</w:t>
            </w:r>
          </w:p>
        </w:tc>
        <w:tc>
          <w:tcPr>
            <w:tcW w:w="695" w:type="dxa"/>
            <w:shd w:val="clear" w:color="auto" w:fill="FFFFFF"/>
            <w:noWrap/>
            <w:vAlign w:val="center"/>
          </w:tcPr>
          <w:p w14:paraId="7E7B5BAA" w14:textId="77777777" w:rsidR="00D22B17" w:rsidRDefault="00D22B17" w:rsidP="00337833">
            <w:pPr>
              <w:jc w:val="center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25" w:type="dxa"/>
            <w:shd w:val="clear" w:color="auto" w:fill="FFFFFF"/>
            <w:noWrap/>
            <w:vAlign w:val="center"/>
          </w:tcPr>
          <w:p w14:paraId="5D788AC2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100米跑，从队员听到信号开始起跑并计时，按要求跑完100米所用的时间为其考核成绩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。</w:t>
            </w:r>
          </w:p>
        </w:tc>
        <w:tc>
          <w:tcPr>
            <w:tcW w:w="3756" w:type="dxa"/>
            <w:shd w:val="clear" w:color="auto" w:fill="FFFFFF"/>
            <w:noWrap/>
            <w:vAlign w:val="center"/>
          </w:tcPr>
          <w:p w14:paraId="74701402" w14:textId="77777777" w:rsidR="00D22B17" w:rsidRDefault="00D22B17" w:rsidP="00337833">
            <w:pPr>
              <w:ind w:firstLineChars="200" w:firstLine="480"/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根据年龄段进行评分。25岁以下，14秒20完成，计10分，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0.1秒加0.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1秒扣0.1分。25-29岁，14秒40完成，计10分，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0.1秒加0.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1秒扣0.1分。30-34岁，15秒完成，计10分，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每快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0.1秒加0.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分，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每慢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0.1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秒扣0.1分。</w:t>
            </w:r>
          </w:p>
        </w:tc>
        <w:tc>
          <w:tcPr>
            <w:tcW w:w="1038" w:type="dxa"/>
            <w:shd w:val="clear" w:color="auto" w:fill="FFFFFF"/>
            <w:noWrap/>
            <w:vAlign w:val="center"/>
          </w:tcPr>
          <w:p w14:paraId="0ABC8146" w14:textId="77777777" w:rsidR="00D22B17" w:rsidRDefault="00D22B17" w:rsidP="00337833">
            <w:pPr>
              <w:textAlignment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  <w:lang w:bidi="ar"/>
              </w:rPr>
              <w:t>全体参加，  逐个施考。</w:t>
            </w:r>
          </w:p>
        </w:tc>
      </w:tr>
      <w:bookmarkEnd w:id="0"/>
      <w:bookmarkEnd w:id="1"/>
    </w:tbl>
    <w:p w14:paraId="3AFD5A56" w14:textId="77777777" w:rsidR="00D22B17" w:rsidRDefault="00D22B17" w:rsidP="00D22B17">
      <w:pPr>
        <w:jc w:val="center"/>
        <w:rPr>
          <w:rFonts w:ascii="宋体" w:hAnsi="宋体" w:cs="宋体"/>
          <w:snapToGrid w:val="0"/>
          <w:sz w:val="28"/>
          <w:szCs w:val="28"/>
        </w:rPr>
      </w:pPr>
    </w:p>
    <w:p w14:paraId="247F59CE" w14:textId="77777777" w:rsidR="00D22B17" w:rsidRDefault="00D22B17" w:rsidP="00D22B17">
      <w:pPr>
        <w:spacing w:line="576" w:lineRule="exact"/>
        <w:rPr>
          <w:rFonts w:ascii="黑体" w:eastAsia="黑体" w:hAnsi="黑体" w:cs="黑体"/>
          <w:snapToGrid w:val="0"/>
          <w:color w:val="000000"/>
        </w:rPr>
      </w:pPr>
    </w:p>
    <w:p w14:paraId="6E3E7E84" w14:textId="77777777" w:rsidR="007F2820" w:rsidRPr="00D22B17" w:rsidRDefault="00D22B17"/>
    <w:sectPr w:rsidR="007F2820" w:rsidRPr="00D22B17">
      <w:footerReference w:type="even" r:id="rId4"/>
      <w:footerReference w:type="default" r:id="rId5"/>
      <w:pgSz w:w="11906" w:h="16838"/>
      <w:pgMar w:top="2098" w:right="1474" w:bottom="1984" w:left="1587" w:header="709" w:footer="489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58DC" w14:textId="2AD100E8" w:rsidR="00000000" w:rsidRDefault="00D22B17">
    <w:pPr>
      <w:pStyle w:val="a3"/>
      <w:rPr>
        <w:rFonts w:ascii="仿宋" w:eastAsia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4EF08" wp14:editId="4296B6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5715" b="44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8D56C" w14:textId="77777777" w:rsidR="00000000" w:rsidRDefault="00D22B1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4EF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zIfzne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14:paraId="7D18D56C" w14:textId="77777777" w:rsidR="00000000" w:rsidRDefault="00D22B17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0A49" w14:textId="45E71E43" w:rsidR="00000000" w:rsidRDefault="00D22B17">
    <w:pPr>
      <w:pStyle w:val="a3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2CC6B" wp14:editId="24CC1FA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5715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CFE18" w14:textId="77777777" w:rsidR="00000000" w:rsidRDefault="00D22B1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2CC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" filled="f" stroked="f">
              <v:textbox style="mso-fit-shape-to-text:t" inset="0,0,0,0">
                <w:txbxContent>
                  <w:p w14:paraId="40BCFE18" w14:textId="77777777" w:rsidR="00000000" w:rsidRDefault="00D22B17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E404E9E" w14:textId="77777777" w:rsidR="00000000" w:rsidRDefault="00D22B1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7"/>
    <w:rsid w:val="00750865"/>
    <w:rsid w:val="00B16F28"/>
    <w:rsid w:val="00D2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6707F"/>
  <w15:chartTrackingRefBased/>
  <w15:docId w15:val="{E84D2CCD-70F6-4477-9DE0-1B97F55F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1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2B17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rsid w:val="00D22B17"/>
    <w:rPr>
      <w:rFonts w:ascii="Tahoma" w:eastAsia="宋体" w:hAnsi="Tahoma" w:cs="Times New Roman"/>
      <w:kern w:val="0"/>
      <w:sz w:val="18"/>
      <w:szCs w:val="18"/>
    </w:rPr>
  </w:style>
  <w:style w:type="character" w:customStyle="1" w:styleId="font21">
    <w:name w:val="font21"/>
    <w:basedOn w:val="a0"/>
    <w:qFormat/>
    <w:rsid w:val="00D22B17"/>
    <w:rPr>
      <w:rFonts w:ascii="仿宋_GB2312" w:eastAsia="仿宋_GB2312" w:hAnsi="Times New Roman" w:cs="仿宋_GB2312" w:hint="default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2025-11-24T10:22:00Z</dcterms:created>
  <dcterms:modified xsi:type="dcterms:W3CDTF">2025-11-24T10:22:00Z</dcterms:modified>
</cp:coreProperties>
</file>