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D8203">
      <w:pPr>
        <w:pStyle w:val="3"/>
        <w:spacing w:before="184" w:line="228" w:lineRule="auto"/>
        <w:rPr>
          <w:rFonts w:ascii="仿宋_GB2312" w:hAnsi="仿宋_GB2312" w:eastAsia="仿宋_GB2312" w:cs="仿宋_GB2312"/>
          <w:sz w:val="32"/>
          <w:szCs w:val="32"/>
        </w:rPr>
      </w:pPr>
      <w:r>
        <w:rPr>
          <w:rFonts w:hint="eastAsia" w:ascii="仿宋_GB2312" w:hAnsi="仿宋_GB2312" w:eastAsia="仿宋_GB2312" w:cs="仿宋_GB2312"/>
          <w:spacing w:val="-12"/>
          <w:sz w:val="32"/>
          <w:szCs w:val="32"/>
        </w:rPr>
        <w:t>附件1：</w:t>
      </w:r>
    </w:p>
    <w:p w14:paraId="6AD180EF">
      <w:pPr>
        <w:widowControl/>
        <w:kinsoku w:val="0"/>
        <w:adjustRightInd w:val="0"/>
        <w:snapToGrid w:val="0"/>
        <w:spacing w:after="100" w:afterAutospacing="1" w:line="560" w:lineRule="exact"/>
        <w:jc w:val="center"/>
        <w:textAlignment w:val="baseline"/>
      </w:pPr>
      <w:r>
        <w:rPr>
          <w:rFonts w:hint="eastAsia" w:ascii="方正小标宋简体" w:hAnsi="方正小标宋简体" w:eastAsia="方正小标宋简体" w:cs="方正小标宋简体"/>
          <w:sz w:val="44"/>
          <w:szCs w:val="44"/>
        </w:rPr>
        <w:t>招聘职位信息表</w:t>
      </w:r>
    </w:p>
    <w:tbl>
      <w:tblPr>
        <w:tblStyle w:val="11"/>
        <w:tblW w:w="144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
      <w:tblGrid>
        <w:gridCol w:w="816"/>
        <w:gridCol w:w="888"/>
        <w:gridCol w:w="840"/>
        <w:gridCol w:w="3225"/>
        <w:gridCol w:w="4290"/>
        <w:gridCol w:w="2445"/>
        <w:gridCol w:w="1988"/>
      </w:tblGrid>
      <w:tr w14:paraId="41B04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86" w:hRule="atLeast"/>
          <w:jc w:val="center"/>
        </w:trPr>
        <w:tc>
          <w:tcPr>
            <w:tcW w:w="816" w:type="dxa"/>
            <w:vAlign w:val="center"/>
          </w:tcPr>
          <w:p w14:paraId="024C347C">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序</w:t>
            </w:r>
          </w:p>
          <w:p w14:paraId="40861CA3">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号</w:t>
            </w:r>
          </w:p>
        </w:tc>
        <w:tc>
          <w:tcPr>
            <w:tcW w:w="888" w:type="dxa"/>
            <w:vAlign w:val="center"/>
          </w:tcPr>
          <w:p w14:paraId="74057DC5">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招聘</w:t>
            </w:r>
          </w:p>
          <w:p w14:paraId="11B6D645">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职位</w:t>
            </w:r>
          </w:p>
        </w:tc>
        <w:tc>
          <w:tcPr>
            <w:tcW w:w="840" w:type="dxa"/>
            <w:vAlign w:val="center"/>
          </w:tcPr>
          <w:p w14:paraId="2E46D787">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招聘</w:t>
            </w:r>
          </w:p>
          <w:p w14:paraId="6EC7344D">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人数</w:t>
            </w:r>
          </w:p>
        </w:tc>
        <w:tc>
          <w:tcPr>
            <w:tcW w:w="3225" w:type="dxa"/>
            <w:vAlign w:val="center"/>
          </w:tcPr>
          <w:p w14:paraId="6B2E5B24">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任职条件</w:t>
            </w:r>
          </w:p>
        </w:tc>
        <w:tc>
          <w:tcPr>
            <w:tcW w:w="4290" w:type="dxa"/>
            <w:vAlign w:val="center"/>
          </w:tcPr>
          <w:p w14:paraId="6C6B66F1">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职位职责</w:t>
            </w:r>
          </w:p>
        </w:tc>
        <w:tc>
          <w:tcPr>
            <w:tcW w:w="2445" w:type="dxa"/>
            <w:vAlign w:val="center"/>
          </w:tcPr>
          <w:p w14:paraId="6F5916EC">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薪资待遇</w:t>
            </w:r>
          </w:p>
        </w:tc>
        <w:tc>
          <w:tcPr>
            <w:tcW w:w="1988" w:type="dxa"/>
            <w:vAlign w:val="center"/>
          </w:tcPr>
          <w:p w14:paraId="47D140D0">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备注</w:t>
            </w:r>
          </w:p>
        </w:tc>
      </w:tr>
      <w:tr w14:paraId="37F6E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5998" w:hRule="atLeast"/>
          <w:jc w:val="center"/>
        </w:trPr>
        <w:tc>
          <w:tcPr>
            <w:tcW w:w="816" w:type="dxa"/>
            <w:vAlign w:val="center"/>
          </w:tcPr>
          <w:p w14:paraId="22970FC4">
            <w:pPr>
              <w:widowControl/>
              <w:kinsoku w:val="0"/>
              <w:adjustRightInd w:val="0"/>
              <w:snapToGrid w:val="0"/>
              <w:spacing w:line="260" w:lineRule="exact"/>
              <w:jc w:val="center"/>
              <w:textAlignment w:val="baseline"/>
              <w:rPr>
                <w:rFonts w:ascii="仿宋_GB2312" w:hAnsi="仿宋_GB2312" w:cs="仿宋_GB2312"/>
                <w:snapToGrid w:val="0"/>
                <w:color w:val="000000"/>
                <w:spacing w:val="8"/>
                <w:kern w:val="0"/>
                <w:sz w:val="24"/>
                <w:szCs w:val="24"/>
              </w:rPr>
            </w:pPr>
            <w:r>
              <w:rPr>
                <w:rFonts w:hint="eastAsia" w:ascii="仿宋_GB2312" w:hAnsi="仿宋_GB2312" w:cs="仿宋_GB2312"/>
                <w:snapToGrid w:val="0"/>
                <w:color w:val="000000"/>
                <w:spacing w:val="8"/>
                <w:kern w:val="0"/>
                <w:sz w:val="24"/>
                <w:szCs w:val="24"/>
              </w:rPr>
              <w:t>1</w:t>
            </w:r>
          </w:p>
        </w:tc>
        <w:tc>
          <w:tcPr>
            <w:tcW w:w="888" w:type="dxa"/>
            <w:vAlign w:val="center"/>
          </w:tcPr>
          <w:p w14:paraId="184487C8">
            <w:pPr>
              <w:widowControl/>
              <w:kinsoku w:val="0"/>
              <w:adjustRightInd w:val="0"/>
              <w:snapToGrid w:val="0"/>
              <w:spacing w:line="260" w:lineRule="exact"/>
              <w:jc w:val="center"/>
              <w:textAlignment w:val="baseline"/>
              <w:rPr>
                <w:rFonts w:ascii="仿宋_GB2312" w:hAnsi="仿宋_GB2312" w:cs="仿宋_GB2312"/>
                <w:snapToGrid w:val="0"/>
                <w:color w:val="000000"/>
                <w:spacing w:val="8"/>
                <w:kern w:val="0"/>
                <w:sz w:val="24"/>
                <w:szCs w:val="24"/>
              </w:rPr>
            </w:pPr>
          </w:p>
          <w:p w14:paraId="1819B244">
            <w:pPr>
              <w:widowControl/>
              <w:kinsoku w:val="0"/>
              <w:adjustRightInd w:val="0"/>
              <w:snapToGrid w:val="0"/>
              <w:spacing w:line="260" w:lineRule="exact"/>
              <w:jc w:val="center"/>
              <w:textAlignment w:val="baseline"/>
              <w:rPr>
                <w:rFonts w:ascii="仿宋_GB2312" w:hAnsi="仿宋_GB2312" w:cs="仿宋_GB2312"/>
                <w:snapToGrid w:val="0"/>
                <w:color w:val="000000"/>
                <w:spacing w:val="8"/>
                <w:kern w:val="0"/>
                <w:sz w:val="24"/>
                <w:szCs w:val="24"/>
              </w:rPr>
            </w:pPr>
            <w:r>
              <w:rPr>
                <w:rFonts w:hint="eastAsia" w:ascii="仿宋_GB2312" w:hAnsi="仿宋_GB2312" w:cs="仿宋_GB2312"/>
                <w:snapToGrid w:val="0"/>
                <w:color w:val="000000"/>
                <w:spacing w:val="8"/>
                <w:kern w:val="0"/>
                <w:sz w:val="24"/>
                <w:szCs w:val="24"/>
              </w:rPr>
              <w:t>场馆运营经理</w:t>
            </w:r>
          </w:p>
        </w:tc>
        <w:tc>
          <w:tcPr>
            <w:tcW w:w="840" w:type="dxa"/>
            <w:vAlign w:val="center"/>
          </w:tcPr>
          <w:p w14:paraId="2CD88D6E">
            <w:pPr>
              <w:pStyle w:val="10"/>
              <w:widowControl/>
              <w:kinsoku w:val="0"/>
              <w:adjustRightInd w:val="0"/>
              <w:snapToGrid w:val="0"/>
              <w:spacing w:line="260" w:lineRule="exact"/>
              <w:ind w:firstLine="256" w:firstLineChars="100"/>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9</w:t>
            </w:r>
          </w:p>
        </w:tc>
        <w:tc>
          <w:tcPr>
            <w:tcW w:w="3225" w:type="dxa"/>
            <w:vAlign w:val="center"/>
          </w:tcPr>
          <w:p w14:paraId="0AB68DAE">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 xml:space="preserve">1.40周岁及以下，本科及以上学历，体育管理、工商管理、市场营销等相关专业优先，具备扎实的场馆运营管理理论基础。                                        </w:t>
            </w:r>
          </w:p>
          <w:p w14:paraId="18660216">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2.具有1年以上体育场馆运营管理经验，有大型体育场馆运营管理经验者优先。</w:t>
            </w:r>
          </w:p>
          <w:p w14:paraId="1C6AD079">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3.熟悉体育场馆的运营管理流程和相关政策法规，具备较强的运营管理和市场开拓能力。</w:t>
            </w:r>
          </w:p>
          <w:p w14:paraId="48CC7A90">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4.具备良好的组织协调能力和沟通能力。</w:t>
            </w:r>
          </w:p>
          <w:p w14:paraId="6786C086">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5.具有较强的数据分析能力和问题解决能力。</w:t>
            </w:r>
          </w:p>
          <w:p w14:paraId="3794C932">
            <w:pPr>
              <w:pStyle w:val="10"/>
              <w:widowControl/>
              <w:kinsoku w:val="0"/>
              <w:adjustRightInd w:val="0"/>
              <w:snapToGrid w:val="0"/>
              <w:spacing w:line="240" w:lineRule="auto"/>
              <w:ind w:right="109"/>
              <w:jc w:val="left"/>
              <w:textAlignment w:val="baseline"/>
              <w:rPr>
                <w:rFonts w:ascii="仿宋_GB2312" w:hAnsi="仿宋_GB2312" w:eastAsia="仿宋_GB2312" w:cs="仿宋_GB2312"/>
                <w:sz w:val="20"/>
                <w:szCs w:val="20"/>
                <w:lang w:eastAsia="zh-CN"/>
              </w:rPr>
            </w:pPr>
            <w:r>
              <w:rPr>
                <w:rFonts w:hint="eastAsia" w:ascii="仿宋_GB2312" w:hAnsi="仿宋_GB2312" w:eastAsia="仿宋_GB2312" w:cs="仿宋_GB2312"/>
                <w:spacing w:val="8"/>
                <w:sz w:val="24"/>
                <w:szCs w:val="24"/>
                <w:lang w:eastAsia="zh-CN"/>
              </w:rPr>
              <w:t>6.持有体育行业相关证书可适当放宽条件限制。</w:t>
            </w:r>
          </w:p>
        </w:tc>
        <w:tc>
          <w:tcPr>
            <w:tcW w:w="4290" w:type="dxa"/>
            <w:vAlign w:val="center"/>
          </w:tcPr>
          <w:p w14:paraId="61F747F2">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1.全面负责体育场馆的日常运营管理工作，制定并执行场馆的年度运营计划和预算，确保场馆各项业务指标的顺利完成。</w:t>
            </w:r>
          </w:p>
          <w:p w14:paraId="66900560">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2.建立健全场馆的运营管理制度和流程，优化场馆的运营模式，提高运营效率和服务质量。</w:t>
            </w:r>
          </w:p>
          <w:p w14:paraId="3E2B1462">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3.负责场馆设施设备的维护和管理，定期组织检查和维修，确保设施设备的正常运行和安全使用。做好场馆安全生产、应急维稳工作。</w:t>
            </w:r>
          </w:p>
          <w:p w14:paraId="15B9CBA5">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4.协调场馆内各部门之间的工作关系，解决运营过程中出现的问题和矛盾，保障场馆的正常运转。5.负责场馆内各类体育赛事和文化活动的策划、组织与实施，确保赛事活动的顺利进行。</w:t>
            </w:r>
          </w:p>
          <w:p w14:paraId="13C63CD4">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6.与赛事主办方、赞助商等进行沟通和协调，落实赛事活动的各项筹备工作，包括场地布置、设备调试、人员安排等。</w:t>
            </w:r>
          </w:p>
          <w:p w14:paraId="37185A39">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7.制定赛事活动的安全保障方案和应急预案，确保赛事活动期间的人员安全和场馆秩序。</w:t>
            </w:r>
          </w:p>
          <w:p w14:paraId="3C4A01F1">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8.对赛事活动进行总结和评估，收集反馈意见，为今后的赛事活动组织提供经验参考。</w:t>
            </w:r>
          </w:p>
          <w:p w14:paraId="7E394E18">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9.建立和完善场馆的客户关系管理系统，收集客户信息，了解客户需求，为客户提供个性化的服务。</w:t>
            </w:r>
          </w:p>
          <w:p w14:paraId="7775DCDC">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10.处理客户投诉和建议，及时解决客户问题，提高客户满意度和忠诚度。</w:t>
            </w:r>
          </w:p>
          <w:p w14:paraId="7FA6E4B8">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z w:val="20"/>
                <w:szCs w:val="20"/>
                <w:lang w:eastAsia="zh-CN"/>
              </w:rPr>
            </w:pPr>
            <w:r>
              <w:rPr>
                <w:rFonts w:hint="eastAsia" w:ascii="仿宋_GB2312" w:hAnsi="仿宋_GB2312" w:eastAsia="仿宋_GB2312" w:cs="仿宋_GB2312"/>
                <w:spacing w:val="8"/>
                <w:sz w:val="18"/>
                <w:szCs w:val="18"/>
                <w:lang w:eastAsia="zh-CN"/>
              </w:rPr>
              <w:t>11.定期回访客户，与客户保持密切联系，挖掘客户的潜在需求，促进客户的二次消费和长期合作。</w:t>
            </w:r>
          </w:p>
        </w:tc>
        <w:tc>
          <w:tcPr>
            <w:tcW w:w="2445" w:type="dxa"/>
            <w:vAlign w:val="center"/>
          </w:tcPr>
          <w:p w14:paraId="40A17056">
            <w:pPr>
              <w:pStyle w:val="10"/>
              <w:widowControl/>
              <w:kinsoku w:val="0"/>
              <w:adjustRightInd w:val="0"/>
              <w:snapToGrid w:val="0"/>
              <w:spacing w:line="240" w:lineRule="auto"/>
              <w:ind w:right="109"/>
              <w:jc w:val="left"/>
              <w:textAlignment w:val="baseline"/>
              <w:rPr>
                <w:spacing w:val="8"/>
                <w:sz w:val="20"/>
                <w:szCs w:val="20"/>
              </w:rPr>
            </w:pPr>
            <w:r>
              <w:rPr>
                <w:rFonts w:hint="eastAsia" w:ascii="仿宋_GB2312" w:hAnsi="仿宋_GB2312" w:eastAsia="仿宋_GB2312" w:cs="仿宋_GB2312"/>
                <w:spacing w:val="8"/>
                <w:sz w:val="24"/>
                <w:szCs w:val="24"/>
                <w:lang w:eastAsia="zh-CN"/>
              </w:rPr>
              <w:t>6000-7500元/月，五险等。</w:t>
            </w:r>
          </w:p>
        </w:tc>
        <w:tc>
          <w:tcPr>
            <w:tcW w:w="1988" w:type="dxa"/>
            <w:vAlign w:val="center"/>
          </w:tcPr>
          <w:p w14:paraId="0C5F7913">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联系人：练琼</w:t>
            </w:r>
          </w:p>
          <w:p w14:paraId="45B47B9C">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联系电话：17779118687</w:t>
            </w:r>
          </w:p>
        </w:tc>
      </w:tr>
      <w:tr w14:paraId="0EED2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5998" w:hRule="atLeast"/>
          <w:jc w:val="center"/>
        </w:trPr>
        <w:tc>
          <w:tcPr>
            <w:tcW w:w="816" w:type="dxa"/>
            <w:vAlign w:val="center"/>
          </w:tcPr>
          <w:p w14:paraId="1543E575">
            <w:pPr>
              <w:widowControl/>
              <w:kinsoku w:val="0"/>
              <w:adjustRightInd w:val="0"/>
              <w:snapToGrid w:val="0"/>
              <w:spacing w:line="260" w:lineRule="exact"/>
              <w:jc w:val="center"/>
              <w:textAlignment w:val="baseline"/>
              <w:rPr>
                <w:rFonts w:ascii="仿宋_GB2312" w:hAnsi="仿宋_GB2312" w:cs="仿宋_GB2312"/>
                <w:snapToGrid w:val="0"/>
                <w:color w:val="000000"/>
                <w:spacing w:val="8"/>
                <w:kern w:val="0"/>
                <w:sz w:val="24"/>
                <w:szCs w:val="24"/>
              </w:rPr>
            </w:pPr>
            <w:r>
              <w:rPr>
                <w:rFonts w:hint="eastAsia" w:ascii="仿宋_GB2312" w:hAnsi="仿宋_GB2312" w:cs="仿宋_GB2312"/>
                <w:snapToGrid w:val="0"/>
                <w:color w:val="000000"/>
                <w:spacing w:val="8"/>
                <w:kern w:val="0"/>
                <w:sz w:val="24"/>
                <w:szCs w:val="24"/>
              </w:rPr>
              <w:t>2</w:t>
            </w:r>
          </w:p>
        </w:tc>
        <w:tc>
          <w:tcPr>
            <w:tcW w:w="888" w:type="dxa"/>
            <w:vAlign w:val="center"/>
          </w:tcPr>
          <w:p w14:paraId="68C66AE1">
            <w:pPr>
              <w:widowControl/>
              <w:kinsoku w:val="0"/>
              <w:adjustRightInd w:val="0"/>
              <w:snapToGrid w:val="0"/>
              <w:spacing w:line="260" w:lineRule="exact"/>
              <w:jc w:val="center"/>
              <w:textAlignment w:val="baseline"/>
              <w:rPr>
                <w:rFonts w:ascii="仿宋_GB2312" w:hAnsi="仿宋_GB2312" w:cs="仿宋_GB2312"/>
                <w:snapToGrid w:val="0"/>
                <w:color w:val="000000"/>
                <w:spacing w:val="8"/>
                <w:kern w:val="0"/>
                <w:sz w:val="24"/>
                <w:szCs w:val="24"/>
              </w:rPr>
            </w:pPr>
            <w:r>
              <w:rPr>
                <w:rFonts w:hint="eastAsia" w:ascii="仿宋_GB2312" w:hAnsi="仿宋_GB2312" w:cs="仿宋_GB2312"/>
                <w:spacing w:val="8"/>
                <w:sz w:val="24"/>
                <w:szCs w:val="24"/>
              </w:rPr>
              <w:t>客户服务专员</w:t>
            </w:r>
          </w:p>
        </w:tc>
        <w:tc>
          <w:tcPr>
            <w:tcW w:w="840" w:type="dxa"/>
            <w:vAlign w:val="center"/>
          </w:tcPr>
          <w:p w14:paraId="1EFF2E7B">
            <w:pPr>
              <w:pStyle w:val="10"/>
              <w:widowControl/>
              <w:kinsoku w:val="0"/>
              <w:adjustRightInd w:val="0"/>
              <w:snapToGrid w:val="0"/>
              <w:spacing w:line="260" w:lineRule="exact"/>
              <w:ind w:firstLine="256" w:firstLineChars="100"/>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18</w:t>
            </w:r>
          </w:p>
        </w:tc>
        <w:tc>
          <w:tcPr>
            <w:tcW w:w="3225" w:type="dxa"/>
            <w:vAlign w:val="center"/>
          </w:tcPr>
          <w:p w14:paraId="3EA6D803">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1.35周岁及以下，女性身高160cm以上，男性170cm以上。大专及以上学历，专业不限，酒店管理、体育管理、客户服务等相关专业优先。</w:t>
            </w:r>
          </w:p>
          <w:p w14:paraId="21B9AED4">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2.熟悉体育场馆运营模式或有相关行业经验者优先。</w:t>
            </w:r>
          </w:p>
          <w:p w14:paraId="6B74B648">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3.形象气质佳，具备良好的沟通表达能力与亲和力；</w:t>
            </w:r>
          </w:p>
          <w:p w14:paraId="7781DBFE">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4.具有较强的服务意识和团队协作精神，能够耐心、细致地处理顾客的问题和需求。</w:t>
            </w:r>
          </w:p>
          <w:p w14:paraId="4BE19895">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5.具备一定的应变能力和问题解决能力，能够在面对突发情况时保持冷静，迅速采取有效的解决措施。</w:t>
            </w:r>
          </w:p>
          <w:p w14:paraId="28A768F8">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6.有体育行业相关工作经验者或持有体育行业相关证书可适当放宽条件限制。</w:t>
            </w:r>
          </w:p>
        </w:tc>
        <w:tc>
          <w:tcPr>
            <w:tcW w:w="4290" w:type="dxa"/>
            <w:vAlign w:val="center"/>
          </w:tcPr>
          <w:p w14:paraId="3972A798">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1.来访接待：以热情、友好的态度迎接每一位到访场馆的客人，包括运动员、会员、观众及访客等。为他们提供准确、清晰的信息咨询，解答关于场馆设施、开放时间、活动安排、收费标准等方面的疑问。</w:t>
            </w:r>
          </w:p>
          <w:p w14:paraId="7E944037">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2.票务与会员管理：负责票务销售工作，熟练操作售票系统，为顾客提供便捷的购票服务；办理会员入会、续费、退会等手续，管理会员信息，确保会员资料的准确性和完整性。</w:t>
            </w:r>
          </w:p>
          <w:p w14:paraId="1870818F">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3.场地预订协调：接收并处理客户的场地预订需求，根据场馆的场地使用情况，合理安排场地使用时间，确保场地资源的合理分配与高效利用。及时与相关部门沟通场地预订信息，保障活动的顺利进行。</w:t>
            </w:r>
          </w:p>
          <w:p w14:paraId="2F26FCEE">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4.电话接听与转接：及时接听场馆咨询电话，准确记录来电信息，按照规定流程进行转接或回复。对于重要信息，及时传达给相关部门或人员，确保信息的畅通与及时处理。</w:t>
            </w:r>
          </w:p>
          <w:p w14:paraId="05C1EFDC">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5.物品寄存与保管：为顾客提供物品寄存服务，妥善保管顾客寄存的物品，确保物品的安全。在顾客领取物品时，认真核对信息，确保物品准确无误地交还给顾客。</w:t>
            </w:r>
          </w:p>
          <w:p w14:paraId="7C1B83A4">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6.现场秩序维护：在场馆开放期间，协助安保人员维护现场秩序，确保顾客在场馆内遵守相关规定，营造安全、有序的运动环境。及时发现并处理现场出现的突发情况，如顾客纠纷、设备故障等，并及时向上级汇报。</w:t>
            </w:r>
          </w:p>
          <w:p w14:paraId="469617AC">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7.数据统计与报表制作：定期统计场馆的客流量、票务销售数据、会员增长情况等信息，制作相关报表，为场馆的运营管理提供数据支持。</w:t>
            </w:r>
          </w:p>
        </w:tc>
        <w:tc>
          <w:tcPr>
            <w:tcW w:w="2445" w:type="dxa"/>
            <w:vAlign w:val="center"/>
          </w:tcPr>
          <w:p w14:paraId="07170D4F">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4000-4500元/月，五险等</w:t>
            </w:r>
          </w:p>
        </w:tc>
        <w:tc>
          <w:tcPr>
            <w:tcW w:w="1988" w:type="dxa"/>
            <w:vAlign w:val="center"/>
          </w:tcPr>
          <w:p w14:paraId="1A6651CA">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联系人：练琼</w:t>
            </w:r>
          </w:p>
          <w:p w14:paraId="625C6DCD">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联系电话：17779118687</w:t>
            </w:r>
          </w:p>
        </w:tc>
      </w:tr>
    </w:tbl>
    <w:p w14:paraId="16E5F115">
      <w:pPr>
        <w:widowControl/>
        <w:kinsoku w:val="0"/>
        <w:wordWrap w:val="0"/>
        <w:adjustRightInd w:val="0"/>
        <w:snapToGrid w:val="0"/>
        <w:spacing w:line="560" w:lineRule="exact"/>
        <w:textAlignment w:val="baseline"/>
      </w:pPr>
      <w:r>
        <w:rPr>
          <w:rFonts w:hint="eastAsia" w:ascii="仿宋_GB2312" w:hAnsi="仿宋_GB2312" w:cs="仿宋_GB2312"/>
          <w:sz w:val="32"/>
          <w:szCs w:val="32"/>
        </w:rPr>
        <w:t xml:space="preserve">     </w:t>
      </w:r>
      <w:bookmarkStart w:id="0" w:name="_GoBack"/>
      <w:bookmarkEnd w:id="0"/>
    </w:p>
    <w:sectPr>
      <w:headerReference r:id="rId5" w:type="default"/>
      <w:footerReference r:id="rId6" w:type="default"/>
      <w:pgSz w:w="16839" w:h="11906" w:orient="landscape"/>
      <w:pgMar w:top="720" w:right="720" w:bottom="720" w:left="720" w:header="0" w:footer="75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embedRegular r:id="rId1" w:fontKey="{26109EA8-C2CB-4935-994A-C80C9C263C0F}"/>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0526C6CB-FDC6-4A17-9DB8-D3C7660EAE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BAA40">
    <w:pPr>
      <w:spacing w:before="1" w:line="176" w:lineRule="auto"/>
      <w:ind w:left="101"/>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EABBD">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A4EABBD">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F55B7">
    <w:pPr>
      <w:pStyle w:val="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4503CD"/>
    <w:rsid w:val="005B7656"/>
    <w:rsid w:val="00666201"/>
    <w:rsid w:val="00667DE4"/>
    <w:rsid w:val="00AB599B"/>
    <w:rsid w:val="00ED7306"/>
    <w:rsid w:val="0A540631"/>
    <w:rsid w:val="0B8F3202"/>
    <w:rsid w:val="0FE36034"/>
    <w:rsid w:val="14905774"/>
    <w:rsid w:val="14CF5677"/>
    <w:rsid w:val="18E92C16"/>
    <w:rsid w:val="223E47A9"/>
    <w:rsid w:val="2802590C"/>
    <w:rsid w:val="2B2947BF"/>
    <w:rsid w:val="2ED72066"/>
    <w:rsid w:val="32EC51EE"/>
    <w:rsid w:val="354503CD"/>
    <w:rsid w:val="3EC534C3"/>
    <w:rsid w:val="55EA4E82"/>
    <w:rsid w:val="58C249DB"/>
    <w:rsid w:val="59A315C7"/>
    <w:rsid w:val="64850E7B"/>
    <w:rsid w:val="77EF497A"/>
    <w:rsid w:val="7F9D3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20" w:lineRule="exact"/>
      <w:jc w:val="both"/>
    </w:pPr>
    <w:rPr>
      <w:rFonts w:eastAsia="仿宋_GB2312" w:asciiTheme="minorHAnsi" w:hAnsiTheme="minorHAnsi"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40"/>
    </w:pPr>
    <w:rPr>
      <w:rFonts w:ascii="仿宋_GB2312" w:hAnsi="Calibri" w:cs="Times New Roman"/>
      <w:kern w:val="0"/>
      <w:szCs w:val="20"/>
    </w:rPr>
  </w:style>
  <w:style w:type="paragraph" w:styleId="3">
    <w:name w:val="Body Text"/>
    <w:basedOn w:val="1"/>
    <w:qFormat/>
    <w:uiPriority w:val="99"/>
    <w:rPr>
      <w:rFonts w:ascii="Calibri" w:hAnsi="Calibri" w:eastAsia="宋体" w:cs="宋体"/>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2"/>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Table Text"/>
    <w:basedOn w:val="1"/>
    <w:semiHidden/>
    <w:qFormat/>
    <w:uiPriority w:val="0"/>
    <w:rPr>
      <w:rFonts w:ascii="仿宋" w:hAnsi="仿宋" w:eastAsia="仿宋" w:cs="仿宋"/>
      <w:sz w:val="22"/>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页眉 字符"/>
    <w:basedOn w:val="8"/>
    <w:link w:val="5"/>
    <w:qFormat/>
    <w:uiPriority w:val="0"/>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1539</Words>
  <Characters>1620</Characters>
  <Lines>12</Lines>
  <Paragraphs>3</Paragraphs>
  <TotalTime>2</TotalTime>
  <ScaleCrop>false</ScaleCrop>
  <LinksUpToDate>false</LinksUpToDate>
  <CharactersWithSpaces>1665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2025-11-15T02:42:00Z</dcterms:created>
  <dc:creator>心弦</dc:creator>
  <cp:lastModifiedBy>心弦</cp:lastModifiedBy>
  <dcterms:modified xsi:type="dcterms:W3CDTF">2025-11-15T09:19:26Z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43CFDBA9FC9041478337E49FFD00E3C9_13</vt:lpwstr>
  </property>
  <property fmtid="{D5CDD505-2E9C-101B-9397-08002B2CF9AE}" pid="4" name="KSOTemplateDocerSaveRecord">
    <vt:lpwstr>eyJoZGlkIjoiNGViY2EyYWVlY2UxN2E4MDAwMDM0M2M1YjE2M2VhMDQiLCJ1c2VySWQiOiIyMzcyNTE2ODAifQ==</vt:lpwstr>
  </property>
</Properties>
</file>