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/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其他高校第一批次录取专业（招聘领导小组以证明上填写的学校、专业为准进行界定）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省部属重点高校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（招聘领导小组以证明上填写的学校为准进行界定）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5B401"/>
    <w:multiLevelType w:val="singleLevel"/>
    <w:tmpl w:val="5BC5B4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2CDF3C77"/>
    <w:rsid w:val="49C34DD6"/>
    <w:rsid w:val="52CB7015"/>
    <w:rsid w:val="53BB66ED"/>
    <w:rsid w:val="5DAD5C44"/>
    <w:rsid w:val="6C2F5E9A"/>
    <w:rsid w:val="6D2D3D2F"/>
    <w:rsid w:val="77D46BEA"/>
    <w:rsid w:val="7D1704BE"/>
    <w:rsid w:val="7EFB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1</TotalTime>
  <ScaleCrop>false</ScaleCrop>
  <LinksUpToDate>false</LinksUpToDate>
  <CharactersWithSpaces>1324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2025-09-13T01:34:00Z</dcterms:created>
  <dc:creator>谢子涵</dc:creator>
  <cp:lastModifiedBy>事业股</cp:lastModifiedBy>
  <dcterms:modified xsi:type="dcterms:W3CDTF">2025-10-28T09:12:37Z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8C76DB93CDC442EFA7C8809783C6CFAE_13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