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372C0E">
      <w:pPr>
        <w:widowControl/>
        <w:kinsoku w:val="0"/>
        <w:autoSpaceDE w:val="0"/>
        <w:autoSpaceDN w:val="0"/>
        <w:adjustRightInd w:val="0"/>
        <w:snapToGrid w:val="0"/>
        <w:spacing w:line="560" w:lineRule="exact"/>
        <w:jc w:val="left"/>
        <w:textAlignment w:val="baseline"/>
        <w:rPr>
          <w:rFonts w:hint="eastAsia" w:ascii="仿宋" w:hAnsi="仿宋" w:eastAsia="仿宋" w:cs="仿宋"/>
          <w:b/>
          <w:bCs w:val="0"/>
          <w:snapToGrid/>
          <w:color w:val="auto"/>
          <w:kern w:val="2"/>
          <w:sz w:val="28"/>
          <w:szCs w:val="28"/>
          <w:highlight w:val="none"/>
          <w:shd w:val="clear" w:color="auto" w:fill="auto"/>
          <w:lang w:val="en-US" w:eastAsia="zh-CN" w:bidi="ar-SA"/>
        </w:rPr>
      </w:pPr>
      <w:r>
        <w:rPr>
          <w:rFonts w:hint="eastAsia" w:ascii="仿宋" w:hAnsi="仿宋" w:eastAsia="仿宋" w:cs="仿宋"/>
          <w:b/>
          <w:bCs w:val="0"/>
          <w:snapToGrid/>
          <w:color w:val="auto"/>
          <w:kern w:val="2"/>
          <w:sz w:val="28"/>
          <w:szCs w:val="28"/>
          <w:highlight w:val="none"/>
          <w:shd w:val="clear" w:color="auto" w:fill="auto"/>
          <w:lang w:val="en-US" w:eastAsia="zh-CN" w:bidi="ar-SA"/>
        </w:rPr>
        <w:t>附件2</w:t>
      </w:r>
    </w:p>
    <w:p w14:paraId="045B2A3F">
      <w:pPr>
        <w:pStyle w:val="11"/>
        <w:keepNext w:val="0"/>
        <w:keepLines w:val="0"/>
        <w:pageBreakBefore w:val="0"/>
        <w:widowControl/>
        <w:kinsoku w:val="0"/>
        <w:wordWrap/>
        <w:overflowPunct/>
        <w:topLinePunct w:val="0"/>
        <w:autoSpaceDE w:val="0"/>
        <w:autoSpaceDN w:val="0"/>
        <w:bidi w:val="0"/>
        <w:adjustRightInd w:val="0"/>
        <w:snapToGrid w:val="0"/>
        <w:spacing w:line="640" w:lineRule="exact"/>
        <w:ind w:left="0"/>
        <w:jc w:val="center"/>
        <w:textAlignment w:val="baseline"/>
        <w:rPr>
          <w:rFonts w:hint="eastAsia" w:ascii="方正小标宋简体" w:hAnsi="方正小标宋简体" w:eastAsia="方正小标宋简体" w:cs="方正小标宋简体"/>
          <w:bCs/>
          <w:snapToGrid/>
          <w:color w:val="auto"/>
          <w:kern w:val="2"/>
          <w:sz w:val="44"/>
          <w:szCs w:val="44"/>
          <w:highlight w:val="none"/>
          <w:shd w:val="clear" w:color="auto" w:fill="auto"/>
          <w:lang w:val="en-US" w:eastAsia="zh-CN" w:bidi="ar-SA"/>
        </w:rPr>
      </w:pPr>
      <w:r>
        <w:rPr>
          <w:rFonts w:hint="eastAsia" w:ascii="方正小标宋简体" w:hAnsi="方正小标宋简体" w:eastAsia="方正小标宋简体" w:cs="方正小标宋简体"/>
          <w:bCs/>
          <w:snapToGrid/>
          <w:color w:val="auto"/>
          <w:kern w:val="2"/>
          <w:sz w:val="44"/>
          <w:szCs w:val="44"/>
          <w:highlight w:val="none"/>
          <w:shd w:val="clear" w:color="auto" w:fill="auto"/>
          <w:lang w:val="en-US" w:eastAsia="zh-CN" w:bidi="ar-SA"/>
        </w:rPr>
        <w:t>贵 州 省 人 民 医 院</w:t>
      </w:r>
    </w:p>
    <w:p w14:paraId="0E426EA8">
      <w:pPr>
        <w:pStyle w:val="11"/>
        <w:keepNext w:val="0"/>
        <w:keepLines w:val="0"/>
        <w:pageBreakBefore w:val="0"/>
        <w:widowControl/>
        <w:kinsoku w:val="0"/>
        <w:wordWrap/>
        <w:overflowPunct/>
        <w:topLinePunct w:val="0"/>
        <w:autoSpaceDE w:val="0"/>
        <w:autoSpaceDN w:val="0"/>
        <w:bidi w:val="0"/>
        <w:adjustRightInd w:val="0"/>
        <w:snapToGrid w:val="0"/>
        <w:spacing w:line="640" w:lineRule="exact"/>
        <w:ind w:left="0"/>
        <w:jc w:val="center"/>
        <w:textAlignment w:val="baseline"/>
        <w:rPr>
          <w:rFonts w:hint="eastAsia" w:ascii="方正小标宋简体" w:hAnsi="方正小标宋简体" w:eastAsia="方正小标宋简体" w:cs="方正小标宋简体"/>
          <w:bCs/>
          <w:snapToGrid/>
          <w:color w:val="auto"/>
          <w:kern w:val="2"/>
          <w:sz w:val="44"/>
          <w:szCs w:val="44"/>
          <w:highlight w:val="none"/>
          <w:shd w:val="clear" w:color="auto" w:fill="auto"/>
          <w:lang w:val="en-US" w:eastAsia="zh-CN" w:bidi="ar-SA"/>
        </w:rPr>
      </w:pPr>
      <w:r>
        <w:rPr>
          <w:rFonts w:hint="eastAsia" w:ascii="方正小标宋简体" w:hAnsi="方正小标宋简体" w:eastAsia="方正小标宋简体" w:cs="方正小标宋简体"/>
          <w:bCs/>
          <w:snapToGrid/>
          <w:color w:val="auto"/>
          <w:kern w:val="2"/>
          <w:sz w:val="44"/>
          <w:szCs w:val="44"/>
          <w:highlight w:val="none"/>
          <w:shd w:val="clear" w:color="auto" w:fill="auto"/>
          <w:lang w:val="en-US" w:eastAsia="zh-CN" w:bidi="ar-SA"/>
        </w:rPr>
        <w:t>麻醉手术中心简介</w:t>
      </w:r>
    </w:p>
    <w:p w14:paraId="06A19905">
      <w:pPr>
        <w:spacing w:line="360" w:lineRule="auto"/>
        <w:rPr>
          <w:rFonts w:ascii="等线" w:hAnsi="等线" w:eastAsia="等线"/>
          <w:color w:val="auto"/>
          <w:szCs w:val="21"/>
          <w:highlight w:val="none"/>
        </w:rPr>
      </w:pPr>
    </w:p>
    <w:p w14:paraId="6479320E">
      <w:pPr>
        <w:widowControl w:val="0"/>
        <w:kinsoku/>
        <w:autoSpaceDE/>
        <w:autoSpaceDN/>
        <w:adjustRightInd/>
        <w:snapToGrid/>
        <w:spacing w:line="560" w:lineRule="exact"/>
        <w:ind w:firstLine="640" w:firstLineChars="200"/>
        <w:jc w:val="both"/>
        <w:textAlignment w:val="auto"/>
        <w:rPr>
          <w:rFonts w:hint="eastAsia" w:ascii="仿宋_GB2312" w:hAnsi="仿宋_GB2312" w:eastAsia="仿宋_GB2312" w:cs="仿宋_GB2312"/>
          <w:snapToGrid/>
          <w:color w:val="auto"/>
          <w:kern w:val="2"/>
          <w:sz w:val="32"/>
          <w:szCs w:val="32"/>
          <w:highlight w:val="none"/>
          <w:lang w:eastAsia="zh-CN"/>
        </w:rPr>
      </w:pPr>
      <w:r>
        <w:rPr>
          <w:rFonts w:hint="eastAsia" w:ascii="仿宋_GB2312" w:hAnsi="仿宋_GB2312" w:eastAsia="仿宋_GB2312" w:cs="仿宋_GB2312"/>
          <w:snapToGrid/>
          <w:color w:val="auto"/>
          <w:kern w:val="2"/>
          <w:sz w:val="32"/>
          <w:szCs w:val="32"/>
          <w:highlight w:val="none"/>
          <w:lang w:eastAsia="zh-CN"/>
        </w:rPr>
        <w:t>贵州省人民医院麻醉手术中心是西南地区最早的麻醉学专业科室之一，</w:t>
      </w:r>
      <w:r>
        <w:rPr>
          <w:rFonts w:hint="eastAsia" w:ascii="仿宋_GB2312" w:hAnsi="仿宋_GB2312" w:eastAsia="仿宋_GB2312" w:cs="仿宋_GB2312"/>
          <w:snapToGrid/>
          <w:color w:val="auto"/>
          <w:kern w:val="2"/>
          <w:sz w:val="32"/>
          <w:szCs w:val="32"/>
          <w:highlight w:val="none"/>
          <w:lang w:val="en-US" w:eastAsia="zh-CN"/>
        </w:rPr>
        <w:t>是</w:t>
      </w:r>
      <w:r>
        <w:rPr>
          <w:rFonts w:hint="eastAsia" w:ascii="仿宋_GB2312" w:hAnsi="仿宋_GB2312" w:eastAsia="仿宋_GB2312" w:cs="仿宋_GB2312"/>
          <w:snapToGrid/>
          <w:color w:val="auto"/>
          <w:kern w:val="2"/>
          <w:sz w:val="32"/>
          <w:szCs w:val="32"/>
          <w:highlight w:val="none"/>
          <w:lang w:eastAsia="zh-CN"/>
        </w:rPr>
        <w:t>国家首批住院医师规范化培训基地、国家药物临床试验基地、全国骨科麻醉培训基地、舒适化医疗培训基地、区域阻滞麻醉基地、全国心肺复苏培训基地、省级机关文明科室。</w:t>
      </w:r>
    </w:p>
    <w:p w14:paraId="682CF5E8">
      <w:pPr>
        <w:widowControl w:val="0"/>
        <w:kinsoku/>
        <w:autoSpaceDE/>
        <w:autoSpaceDN/>
        <w:adjustRightInd/>
        <w:snapToGrid/>
        <w:spacing w:line="560" w:lineRule="exact"/>
        <w:ind w:firstLine="640" w:firstLineChars="200"/>
        <w:jc w:val="both"/>
        <w:textAlignment w:val="auto"/>
        <w:rPr>
          <w:rFonts w:hint="eastAsia" w:ascii="仿宋_GB2312" w:hAnsi="仿宋_GB2312" w:eastAsia="仿宋_GB2312" w:cs="仿宋_GB2312"/>
          <w:snapToGrid/>
          <w:color w:val="auto"/>
          <w:kern w:val="2"/>
          <w:sz w:val="32"/>
          <w:szCs w:val="32"/>
          <w:highlight w:val="none"/>
          <w:lang w:eastAsia="zh-CN"/>
        </w:rPr>
      </w:pPr>
      <w:r>
        <w:rPr>
          <w:rFonts w:hint="eastAsia" w:ascii="仿宋_GB2312" w:hAnsi="仿宋_GB2312" w:eastAsia="仿宋_GB2312" w:cs="仿宋_GB2312"/>
          <w:snapToGrid/>
          <w:color w:val="auto"/>
          <w:kern w:val="2"/>
          <w:sz w:val="32"/>
          <w:szCs w:val="32"/>
          <w:highlight w:val="none"/>
          <w:lang w:eastAsia="zh-CN"/>
        </w:rPr>
        <w:t>贵州省人民医院麻醉手术中心是贵州省重点学科</w:t>
      </w:r>
      <w:r>
        <w:rPr>
          <w:rFonts w:hint="eastAsia" w:ascii="仿宋_GB2312" w:hAnsi="仿宋_GB2312" w:eastAsia="仿宋_GB2312" w:cs="仿宋_GB2312"/>
          <w:snapToGrid/>
          <w:color w:val="auto"/>
          <w:kern w:val="2"/>
          <w:sz w:val="32"/>
          <w:szCs w:val="32"/>
          <w:highlight w:val="none"/>
          <w:lang w:val="en-US" w:eastAsia="zh-CN"/>
        </w:rPr>
        <w:t>以及</w:t>
      </w:r>
      <w:r>
        <w:rPr>
          <w:rFonts w:hint="eastAsia" w:ascii="仿宋_GB2312" w:hAnsi="仿宋_GB2312" w:eastAsia="仿宋_GB2312" w:cs="仿宋_GB2312"/>
          <w:snapToGrid/>
          <w:color w:val="auto"/>
          <w:kern w:val="2"/>
          <w:sz w:val="32"/>
          <w:szCs w:val="32"/>
          <w:highlight w:val="none"/>
          <w:lang w:eastAsia="zh-CN"/>
        </w:rPr>
        <w:t>2025</w:t>
      </w:r>
      <w:r>
        <w:rPr>
          <w:rFonts w:hint="eastAsia" w:ascii="仿宋_GB2312" w:hAnsi="仿宋_GB2312" w:eastAsia="仿宋_GB2312" w:cs="仿宋_GB2312"/>
          <w:snapToGrid/>
          <w:color w:val="auto"/>
          <w:kern w:val="2"/>
          <w:sz w:val="32"/>
          <w:szCs w:val="32"/>
          <w:highlight w:val="none"/>
          <w:lang w:eastAsia="zh-CN"/>
        </w:rPr>
        <w:t>年</w:t>
      </w:r>
      <w:r>
        <w:rPr>
          <w:rFonts w:hint="eastAsia" w:ascii="仿宋_GB2312" w:hAnsi="仿宋_GB2312" w:eastAsia="仿宋_GB2312" w:cs="仿宋_GB2312"/>
          <w:snapToGrid/>
          <w:color w:val="auto"/>
          <w:kern w:val="2"/>
          <w:sz w:val="32"/>
          <w:szCs w:val="32"/>
          <w:highlight w:val="none"/>
          <w:lang w:eastAsia="zh-CN"/>
        </w:rPr>
        <w:t>国家重点专科建设项目。</w:t>
      </w:r>
    </w:p>
    <w:p w14:paraId="57986C75">
      <w:pPr>
        <w:pStyle w:val="37"/>
        <w:numPr>
          <w:ilvl w:val="0"/>
          <w:numId w:val="0"/>
        </w:numPr>
        <w:spacing w:line="360" w:lineRule="auto"/>
        <w:ind w:left="560" w:leftChars="0"/>
        <w:rPr>
          <w:rFonts w:hint="eastAsia" w:ascii="黑体" w:hAnsi="黑体" w:eastAsia="黑体" w:cs="黑体"/>
          <w:snapToGrid/>
          <w:color w:val="auto"/>
          <w:kern w:val="2"/>
          <w:sz w:val="32"/>
          <w:szCs w:val="32"/>
          <w:highlight w:val="none"/>
          <w:lang w:val="en-US" w:eastAsia="zh-CN" w:bidi="ar-SA"/>
        </w:rPr>
      </w:pPr>
      <w:r>
        <w:rPr>
          <w:rFonts w:hint="eastAsia" w:ascii="黑体" w:hAnsi="黑体" w:eastAsia="黑体" w:cs="黑体"/>
          <w:snapToGrid/>
          <w:color w:val="auto"/>
          <w:kern w:val="2"/>
          <w:sz w:val="32"/>
          <w:szCs w:val="32"/>
          <w:highlight w:val="none"/>
          <w:lang w:val="en-US" w:eastAsia="zh-CN" w:bidi="ar-SA"/>
        </w:rPr>
        <w:t>一、专科平台硬实力</w:t>
      </w:r>
    </w:p>
    <w:p w14:paraId="2280C4EE">
      <w:pPr>
        <w:widowControl w:val="0"/>
        <w:kinsoku/>
        <w:autoSpaceDE/>
        <w:autoSpaceDN/>
        <w:adjustRightInd/>
        <w:snapToGrid/>
        <w:spacing w:line="560" w:lineRule="exact"/>
        <w:ind w:firstLine="640" w:firstLineChars="200"/>
        <w:jc w:val="both"/>
        <w:textAlignment w:val="auto"/>
        <w:rPr>
          <w:rFonts w:hint="eastAsia" w:ascii="仿宋_GB2312" w:hAnsi="仿宋_GB2312" w:eastAsia="仿宋_GB2312" w:cs="仿宋_GB2312"/>
          <w:snapToGrid/>
          <w:color w:val="auto"/>
          <w:kern w:val="2"/>
          <w:sz w:val="32"/>
          <w:szCs w:val="32"/>
          <w:highlight w:val="none"/>
          <w:lang w:eastAsia="zh-CN"/>
        </w:rPr>
      </w:pPr>
      <w:r>
        <w:rPr>
          <w:rFonts w:hint="eastAsia" w:ascii="仿宋_GB2312" w:hAnsi="仿宋_GB2312" w:eastAsia="仿宋_GB2312" w:cs="仿宋_GB2312"/>
          <w:snapToGrid/>
          <w:color w:val="auto"/>
          <w:kern w:val="2"/>
          <w:sz w:val="32"/>
          <w:szCs w:val="32"/>
          <w:highlight w:val="none"/>
          <w:lang w:eastAsia="zh-CN"/>
        </w:rPr>
        <w:t>麻醉手术中心一共有四个手术部85个手术间及</w:t>
      </w:r>
      <w:r>
        <w:rPr>
          <w:rFonts w:hint="eastAsia" w:ascii="仿宋_GB2312" w:hAnsi="仿宋_GB2312" w:eastAsia="仿宋_GB2312" w:cs="仿宋_GB2312"/>
          <w:snapToGrid/>
          <w:color w:val="auto"/>
          <w:kern w:val="2"/>
          <w:sz w:val="32"/>
          <w:szCs w:val="32"/>
          <w:highlight w:val="none"/>
          <w:lang w:val="en-US" w:eastAsia="zh-CN"/>
        </w:rPr>
        <w:t>18</w:t>
      </w:r>
      <w:r>
        <w:rPr>
          <w:rFonts w:hint="eastAsia" w:ascii="仿宋_GB2312" w:hAnsi="仿宋_GB2312" w:eastAsia="仿宋_GB2312" w:cs="仿宋_GB2312"/>
          <w:snapToGrid/>
          <w:color w:val="auto"/>
          <w:kern w:val="2"/>
          <w:sz w:val="32"/>
          <w:szCs w:val="32"/>
          <w:highlight w:val="none"/>
          <w:lang w:eastAsia="zh-CN"/>
        </w:rPr>
        <w:t>个手术室外舒适化医疗位点。四个手术部包括贵州省人民医院</w:t>
      </w:r>
      <w:r>
        <w:rPr>
          <w:rFonts w:hint="eastAsia" w:ascii="仿宋_GB2312" w:hAnsi="仿宋_GB2312" w:eastAsia="仿宋_GB2312" w:cs="仿宋_GB2312"/>
          <w:snapToGrid/>
          <w:color w:val="auto"/>
          <w:kern w:val="2"/>
          <w:sz w:val="32"/>
          <w:szCs w:val="32"/>
          <w:highlight w:val="none"/>
          <w:lang w:val="en-US" w:eastAsia="zh-CN"/>
        </w:rPr>
        <w:t>南明院区</w:t>
      </w:r>
      <w:r>
        <w:rPr>
          <w:rFonts w:hint="eastAsia" w:ascii="仿宋_GB2312" w:hAnsi="仿宋_GB2312" w:eastAsia="仿宋_GB2312" w:cs="仿宋_GB2312"/>
          <w:snapToGrid/>
          <w:color w:val="auto"/>
          <w:kern w:val="2"/>
          <w:sz w:val="32"/>
          <w:szCs w:val="32"/>
          <w:highlight w:val="none"/>
          <w:lang w:eastAsia="zh-CN"/>
        </w:rPr>
        <w:t>手术</w:t>
      </w:r>
      <w:r>
        <w:rPr>
          <w:rFonts w:hint="eastAsia" w:ascii="仿宋_GB2312" w:hAnsi="仿宋_GB2312" w:eastAsia="仿宋_GB2312" w:cs="仿宋_GB2312"/>
          <w:snapToGrid/>
          <w:color w:val="auto"/>
          <w:kern w:val="2"/>
          <w:sz w:val="32"/>
          <w:szCs w:val="32"/>
          <w:highlight w:val="none"/>
          <w:lang w:val="en-US" w:eastAsia="zh-CN"/>
        </w:rPr>
        <w:t>一</w:t>
      </w:r>
      <w:r>
        <w:rPr>
          <w:rFonts w:hint="eastAsia" w:ascii="仿宋_GB2312" w:hAnsi="仿宋_GB2312" w:eastAsia="仿宋_GB2312" w:cs="仿宋_GB2312"/>
          <w:snapToGrid/>
          <w:color w:val="auto"/>
          <w:kern w:val="2"/>
          <w:sz w:val="32"/>
          <w:szCs w:val="32"/>
          <w:highlight w:val="none"/>
          <w:lang w:eastAsia="zh-CN"/>
        </w:rPr>
        <w:t>部、手术</w:t>
      </w:r>
      <w:r>
        <w:rPr>
          <w:rFonts w:hint="eastAsia" w:ascii="仿宋_GB2312" w:hAnsi="仿宋_GB2312" w:eastAsia="仿宋_GB2312" w:cs="仿宋_GB2312"/>
          <w:snapToGrid/>
          <w:color w:val="auto"/>
          <w:kern w:val="2"/>
          <w:sz w:val="32"/>
          <w:szCs w:val="32"/>
          <w:highlight w:val="none"/>
          <w:lang w:val="en-US" w:eastAsia="zh-CN"/>
        </w:rPr>
        <w:t>二</w:t>
      </w:r>
      <w:r>
        <w:rPr>
          <w:rFonts w:hint="eastAsia" w:ascii="仿宋_GB2312" w:hAnsi="仿宋_GB2312" w:eastAsia="仿宋_GB2312" w:cs="仿宋_GB2312"/>
          <w:snapToGrid/>
          <w:color w:val="auto"/>
          <w:kern w:val="2"/>
          <w:sz w:val="32"/>
          <w:szCs w:val="32"/>
          <w:highlight w:val="none"/>
          <w:lang w:eastAsia="zh-CN"/>
        </w:rPr>
        <w:t>部、</w:t>
      </w:r>
      <w:r>
        <w:rPr>
          <w:rFonts w:hint="eastAsia" w:ascii="仿宋_GB2312" w:hAnsi="仿宋_GB2312" w:eastAsia="仿宋_GB2312" w:cs="仿宋_GB2312"/>
          <w:snapToGrid/>
          <w:color w:val="auto"/>
          <w:kern w:val="2"/>
          <w:sz w:val="32"/>
          <w:szCs w:val="32"/>
          <w:highlight w:val="none"/>
          <w:lang w:val="en-US" w:eastAsia="zh-CN"/>
        </w:rPr>
        <w:t>观山湖院区中心手术部以及</w:t>
      </w:r>
      <w:r>
        <w:rPr>
          <w:rFonts w:hint="eastAsia" w:ascii="仿宋_GB2312" w:hAnsi="仿宋_GB2312" w:eastAsia="仿宋_GB2312" w:cs="仿宋_GB2312"/>
          <w:snapToGrid/>
          <w:color w:val="auto"/>
          <w:kern w:val="2"/>
          <w:sz w:val="32"/>
          <w:szCs w:val="32"/>
          <w:highlight w:val="none"/>
          <w:lang w:eastAsia="zh-CN"/>
        </w:rPr>
        <w:t>国家应急救</w:t>
      </w:r>
      <w:r>
        <w:rPr>
          <w:rFonts w:hint="eastAsia" w:ascii="仿宋_GB2312" w:hAnsi="仿宋_GB2312" w:eastAsia="仿宋_GB2312" w:cs="仿宋_GB2312"/>
          <w:snapToGrid/>
          <w:color w:val="auto"/>
          <w:kern w:val="2"/>
          <w:sz w:val="32"/>
          <w:szCs w:val="32"/>
          <w:highlight w:val="none"/>
          <w:lang w:eastAsia="zh-CN"/>
        </w:rPr>
        <w:t>援</w:t>
      </w:r>
      <w:r>
        <w:rPr>
          <w:rFonts w:hint="eastAsia" w:ascii="仿宋_GB2312" w:hAnsi="仿宋_GB2312" w:eastAsia="仿宋_GB2312" w:cs="仿宋_GB2312"/>
          <w:snapToGrid/>
          <w:color w:val="auto"/>
          <w:kern w:val="2"/>
          <w:sz w:val="32"/>
          <w:szCs w:val="32"/>
          <w:highlight w:val="none"/>
          <w:lang w:eastAsia="zh-CN"/>
        </w:rPr>
        <w:t>贵州中心手术部。</w:t>
      </w:r>
      <w:r>
        <w:rPr>
          <w:rFonts w:hint="eastAsia" w:ascii="仿宋_GB2312" w:hAnsi="仿宋_GB2312" w:eastAsia="仿宋_GB2312" w:cs="仿宋_GB2312"/>
          <w:snapToGrid/>
          <w:color w:val="auto"/>
          <w:kern w:val="2"/>
          <w:sz w:val="32"/>
          <w:szCs w:val="32"/>
          <w:highlight w:val="none"/>
          <w:lang w:eastAsia="zh-CN"/>
        </w:rPr>
        <w:t>1</w:t>
      </w:r>
      <w:r>
        <w:rPr>
          <w:rFonts w:hint="eastAsia" w:ascii="仿宋_GB2312" w:hAnsi="仿宋_GB2312" w:eastAsia="仿宋_GB2312" w:cs="仿宋_GB2312"/>
          <w:snapToGrid/>
          <w:color w:val="auto"/>
          <w:kern w:val="2"/>
          <w:sz w:val="32"/>
          <w:szCs w:val="32"/>
          <w:highlight w:val="none"/>
          <w:lang w:val="en-US" w:eastAsia="zh-CN"/>
        </w:rPr>
        <w:t>8</w:t>
      </w:r>
      <w:r>
        <w:rPr>
          <w:rFonts w:hint="eastAsia" w:ascii="仿宋_GB2312" w:hAnsi="仿宋_GB2312" w:eastAsia="仿宋_GB2312" w:cs="仿宋_GB2312"/>
          <w:snapToGrid/>
          <w:color w:val="auto"/>
          <w:kern w:val="2"/>
          <w:sz w:val="32"/>
          <w:szCs w:val="32"/>
          <w:highlight w:val="none"/>
          <w:lang w:eastAsia="zh-CN"/>
        </w:rPr>
        <w:t>个手术室外麻醉工作位点包括2个神经介入手术室，2个心脏介入手术室，4个外周介入手术室，2个成人无痛胃肠镜中心，2个成人无痛气管镜中心，1个儿童无痛胃肠镜中心，1个儿童无痛气管镜中心，2个儿童镇静中心，2个麻醉门诊。麻醉手术平台有三个杂交手术间，配备有国内先进的CT和MRI，应急救援部还配有西南第一台滑轨CT，直升机等。手术间配备达芬奇机器人2台，天玑骨科机器人2台，以及国际先进的麻醉工作站。</w:t>
      </w:r>
    </w:p>
    <w:p w14:paraId="4D1C180C">
      <w:pPr>
        <w:spacing w:line="360" w:lineRule="auto"/>
        <w:ind w:firstLine="640" w:firstLineChars="200"/>
        <w:rPr>
          <w:rFonts w:hint="eastAsia" w:ascii="黑体" w:hAnsi="黑体" w:eastAsia="黑体" w:cs="黑体"/>
          <w:snapToGrid/>
          <w:color w:val="auto"/>
          <w:kern w:val="2"/>
          <w:sz w:val="32"/>
          <w:szCs w:val="32"/>
          <w:highlight w:val="none"/>
          <w:lang w:val="en-US" w:eastAsia="zh-CN" w:bidi="ar-SA"/>
        </w:rPr>
      </w:pPr>
      <w:r>
        <w:rPr>
          <w:rFonts w:hint="eastAsia" w:ascii="黑体" w:hAnsi="黑体" w:eastAsia="黑体" w:cs="黑体"/>
          <w:snapToGrid/>
          <w:color w:val="auto"/>
          <w:kern w:val="2"/>
          <w:sz w:val="32"/>
          <w:szCs w:val="32"/>
          <w:highlight w:val="none"/>
          <w:lang w:val="en-US" w:eastAsia="zh-CN" w:bidi="ar-SA"/>
        </w:rPr>
        <w:t>二、专科诊疗服务能力全省领先</w:t>
      </w:r>
    </w:p>
    <w:p w14:paraId="1A362801">
      <w:pPr>
        <w:widowControl w:val="0"/>
        <w:kinsoku/>
        <w:autoSpaceDE/>
        <w:autoSpaceDN/>
        <w:adjustRightInd/>
        <w:snapToGrid/>
        <w:spacing w:line="560" w:lineRule="exact"/>
        <w:ind w:firstLine="640" w:firstLineChars="200"/>
        <w:jc w:val="both"/>
        <w:textAlignment w:val="auto"/>
        <w:rPr>
          <w:rFonts w:hint="eastAsia" w:ascii="仿宋_GB2312" w:hAnsi="仿宋_GB2312" w:eastAsia="仿宋_GB2312" w:cs="仿宋_GB2312"/>
          <w:snapToGrid/>
          <w:color w:val="auto"/>
          <w:kern w:val="2"/>
          <w:sz w:val="32"/>
          <w:szCs w:val="32"/>
          <w:highlight w:val="none"/>
          <w:lang w:eastAsia="zh-CN"/>
        </w:rPr>
      </w:pPr>
      <w:r>
        <w:rPr>
          <w:rFonts w:hint="eastAsia" w:ascii="仿宋_GB2312" w:hAnsi="仿宋_GB2312" w:eastAsia="仿宋_GB2312" w:cs="仿宋_GB2312"/>
          <w:snapToGrid/>
          <w:color w:val="auto"/>
          <w:kern w:val="2"/>
          <w:sz w:val="32"/>
          <w:szCs w:val="32"/>
          <w:highlight w:val="none"/>
          <w:lang w:eastAsia="zh-CN"/>
        </w:rPr>
        <w:t>贵州省人民医院麻醉手术中心是目前省内最大的麻醉手术平台，麻醉手术量全省第一，</w:t>
      </w:r>
    </w:p>
    <w:p w14:paraId="1E2BDB64">
      <w:pPr>
        <w:widowControl w:val="0"/>
        <w:kinsoku/>
        <w:autoSpaceDE/>
        <w:autoSpaceDN/>
        <w:adjustRightInd/>
        <w:snapToGrid/>
        <w:spacing w:line="560" w:lineRule="exact"/>
        <w:ind w:firstLine="640" w:firstLineChars="200"/>
        <w:jc w:val="both"/>
        <w:textAlignment w:val="auto"/>
        <w:rPr>
          <w:rFonts w:hint="eastAsia" w:ascii="仿宋_GB2312" w:hAnsi="仿宋_GB2312" w:eastAsia="仿宋_GB2312" w:cs="仿宋_GB2312"/>
          <w:snapToGrid/>
          <w:color w:val="auto"/>
          <w:kern w:val="2"/>
          <w:sz w:val="32"/>
          <w:szCs w:val="32"/>
          <w:highlight w:val="none"/>
          <w:lang w:eastAsia="zh-CN"/>
        </w:rPr>
      </w:pPr>
      <w:r>
        <w:rPr>
          <w:rFonts w:hint="eastAsia" w:ascii="仿宋_GB2312" w:hAnsi="仿宋_GB2312" w:eastAsia="仿宋_GB2312" w:cs="仿宋_GB2312"/>
          <w:snapToGrid/>
          <w:color w:val="auto"/>
          <w:kern w:val="2"/>
          <w:sz w:val="32"/>
          <w:szCs w:val="32"/>
          <w:highlight w:val="none"/>
          <w:lang w:eastAsia="zh-CN"/>
        </w:rPr>
        <w:t>近年来麻醉学科每年工作量超过20万例，无论手术量还是舒适化诊疗量均是全省第一。</w:t>
      </w:r>
    </w:p>
    <w:p w14:paraId="4F375822">
      <w:pPr>
        <w:spacing w:line="360" w:lineRule="auto"/>
        <w:ind w:firstLine="640" w:firstLineChars="200"/>
        <w:rPr>
          <w:rFonts w:hint="eastAsia" w:ascii="黑体" w:hAnsi="黑体" w:eastAsia="黑体" w:cs="黑体"/>
          <w:snapToGrid/>
          <w:color w:val="auto"/>
          <w:kern w:val="2"/>
          <w:sz w:val="32"/>
          <w:szCs w:val="32"/>
          <w:highlight w:val="none"/>
          <w:lang w:val="en-US" w:eastAsia="zh-CN" w:bidi="ar-SA"/>
        </w:rPr>
      </w:pPr>
      <w:r>
        <w:rPr>
          <w:rFonts w:hint="eastAsia" w:ascii="黑体" w:hAnsi="黑体" w:eastAsia="黑体" w:cs="黑体"/>
          <w:snapToGrid/>
          <w:color w:val="auto"/>
          <w:kern w:val="2"/>
          <w:sz w:val="32"/>
          <w:szCs w:val="32"/>
          <w:highlight w:val="none"/>
          <w:lang w:val="en-US" w:eastAsia="zh-CN" w:bidi="ar-SA"/>
        </w:rPr>
        <w:t>三、麻醉学科具有国内领先的专科特色技术</w:t>
      </w:r>
    </w:p>
    <w:p w14:paraId="3E918D76">
      <w:pPr>
        <w:widowControl w:val="0"/>
        <w:kinsoku/>
        <w:autoSpaceDE/>
        <w:autoSpaceDN/>
        <w:adjustRightInd/>
        <w:snapToGrid/>
        <w:spacing w:line="560" w:lineRule="exact"/>
        <w:ind w:firstLine="640" w:firstLineChars="200"/>
        <w:jc w:val="both"/>
        <w:textAlignment w:val="auto"/>
        <w:rPr>
          <w:rFonts w:hint="eastAsia" w:ascii="仿宋_GB2312" w:hAnsi="仿宋_GB2312" w:eastAsia="仿宋_GB2312" w:cs="仿宋_GB2312"/>
          <w:snapToGrid/>
          <w:color w:val="auto"/>
          <w:kern w:val="2"/>
          <w:sz w:val="32"/>
          <w:szCs w:val="32"/>
          <w:highlight w:val="none"/>
          <w:lang w:eastAsia="zh-CN"/>
        </w:rPr>
      </w:pPr>
      <w:r>
        <w:rPr>
          <w:rFonts w:hint="eastAsia" w:ascii="楷体_GB2312" w:hAnsi="楷体_GB2312" w:eastAsia="楷体_GB2312" w:cs="楷体_GB2312"/>
          <w:snapToGrid/>
          <w:color w:val="auto"/>
          <w:kern w:val="2"/>
          <w:sz w:val="32"/>
          <w:szCs w:val="32"/>
          <w:highlight w:val="none"/>
          <w:lang w:eastAsia="zh-CN"/>
        </w:rPr>
        <w:t>1.建立了贵州省最大的加速康复外科（ERAS）平台--麻醉手术中心近年来在贵州省率先引进国际先进加速康复外科（ERAS）新理念新技术，在麻醉学科的主导下，在全院大力实施ERAS，建立了全省最大的ERAS平台</w:t>
      </w:r>
      <w:r>
        <w:rPr>
          <w:rFonts w:hint="eastAsia" w:ascii="仿宋_GB2312" w:hAnsi="仿宋_GB2312" w:eastAsia="仿宋_GB2312" w:cs="仿宋_GB2312"/>
          <w:snapToGrid/>
          <w:color w:val="auto"/>
          <w:kern w:val="2"/>
          <w:sz w:val="32"/>
          <w:szCs w:val="32"/>
          <w:highlight w:val="none"/>
          <w:lang w:eastAsia="zh-CN"/>
        </w:rPr>
        <w:t>。使ERAS成为麻醉学科的特色也使ERAS成为该院的品牌，并在全省乃至全国带动基层医疗机构实施和推进ERAS，对手术患者进行精细化管理，有效推动了医院高质量发展。目前我院在21个外科，100多个病种实施ERAS路径，积累丰富的ERAS管理和实施经验。每月进入ERAS路径的手术例数超过75%，在省内遥遥领先。</w:t>
      </w:r>
    </w:p>
    <w:p w14:paraId="05599667">
      <w:pPr>
        <w:widowControl w:val="0"/>
        <w:kinsoku/>
        <w:autoSpaceDE/>
        <w:autoSpaceDN/>
        <w:adjustRightInd/>
        <w:snapToGrid/>
        <w:spacing w:line="560" w:lineRule="exact"/>
        <w:ind w:firstLine="640" w:firstLineChars="200"/>
        <w:jc w:val="both"/>
        <w:textAlignment w:val="auto"/>
        <w:rPr>
          <w:rFonts w:hint="eastAsia" w:ascii="仿宋_GB2312" w:hAnsi="仿宋_GB2312" w:eastAsia="仿宋_GB2312" w:cs="仿宋_GB2312"/>
          <w:snapToGrid/>
          <w:color w:val="auto"/>
          <w:kern w:val="2"/>
          <w:sz w:val="32"/>
          <w:szCs w:val="32"/>
          <w:highlight w:val="none"/>
          <w:lang w:eastAsia="zh-CN"/>
        </w:rPr>
      </w:pPr>
      <w:r>
        <w:rPr>
          <w:rFonts w:hint="eastAsia" w:ascii="楷体_GB2312" w:hAnsi="楷体_GB2312" w:eastAsia="楷体_GB2312" w:cs="楷体_GB2312"/>
          <w:b w:val="0"/>
          <w:bCs w:val="0"/>
          <w:snapToGrid/>
          <w:color w:val="auto"/>
          <w:kern w:val="2"/>
          <w:sz w:val="32"/>
          <w:szCs w:val="32"/>
          <w:highlight w:val="none"/>
          <w:lang w:eastAsia="zh-CN"/>
        </w:rPr>
        <w:t>2.日间四级手术麻醉--该项技术不仅是省内领先，也是国内领先技术。</w:t>
      </w:r>
      <w:r>
        <w:rPr>
          <w:rFonts w:hint="eastAsia" w:ascii="仿宋_GB2312" w:hAnsi="仿宋_GB2312" w:eastAsia="仿宋_GB2312" w:cs="仿宋_GB2312"/>
          <w:snapToGrid/>
          <w:color w:val="auto"/>
          <w:kern w:val="2"/>
          <w:sz w:val="32"/>
          <w:szCs w:val="32"/>
          <w:highlight w:val="none"/>
          <w:lang w:eastAsia="zh-CN"/>
        </w:rPr>
        <w:t>四级手术难度较大、风险高，此类手术要做到日间手术，对麻醉技术水平要求极高。我科在术前评估流程的优化、麻醉方案设计、术中精准麻醉实施和管理、术后舒适化恢复等方面不断探索新型麻醉技术、创新镇痛模式和术后恢复策略，确保患者能够顺利恢复并在较短时间内出院，为患者提供了精细化管理和高质量的医疗服务。</w:t>
      </w:r>
    </w:p>
    <w:p w14:paraId="28DCFE3C">
      <w:pPr>
        <w:widowControl w:val="0"/>
        <w:kinsoku/>
        <w:autoSpaceDE/>
        <w:autoSpaceDN/>
        <w:adjustRightInd/>
        <w:snapToGrid/>
        <w:spacing w:line="560" w:lineRule="exact"/>
        <w:ind w:firstLine="640" w:firstLineChars="200"/>
        <w:jc w:val="both"/>
        <w:textAlignment w:val="auto"/>
        <w:rPr>
          <w:rFonts w:hint="eastAsia" w:ascii="仿宋_GB2312" w:hAnsi="仿宋_GB2312" w:eastAsia="仿宋_GB2312" w:cs="仿宋_GB2312"/>
          <w:snapToGrid/>
          <w:color w:val="auto"/>
          <w:kern w:val="2"/>
          <w:sz w:val="32"/>
          <w:szCs w:val="32"/>
          <w:highlight w:val="none"/>
          <w:lang w:eastAsia="zh-CN"/>
        </w:rPr>
      </w:pPr>
      <w:r>
        <w:rPr>
          <w:rFonts w:hint="eastAsia" w:ascii="仿宋_GB2312" w:hAnsi="仿宋_GB2312" w:eastAsia="仿宋_GB2312" w:cs="仿宋_GB2312"/>
          <w:snapToGrid/>
          <w:color w:val="auto"/>
          <w:kern w:val="2"/>
          <w:sz w:val="32"/>
          <w:szCs w:val="32"/>
          <w:highlight w:val="none"/>
          <w:lang w:eastAsia="zh-CN"/>
        </w:rPr>
        <w:t>目前，我院在骨科髋膝关节置换术、甲状腺癌根治术、胸科肺叶切除术等四级手术中逐步开展了日间手术，取得了良好的临床效果，极大提升患者满意度和就医感受，获得了极好的社会声誉。</w:t>
      </w:r>
    </w:p>
    <w:p w14:paraId="4438F15C">
      <w:pPr>
        <w:widowControl w:val="0"/>
        <w:kinsoku/>
        <w:autoSpaceDE/>
        <w:autoSpaceDN/>
        <w:adjustRightInd/>
        <w:snapToGrid/>
        <w:spacing w:line="560" w:lineRule="exact"/>
        <w:ind w:firstLine="640" w:firstLineChars="200"/>
        <w:jc w:val="both"/>
        <w:textAlignment w:val="auto"/>
        <w:rPr>
          <w:rFonts w:hint="eastAsia" w:ascii="楷体_GB2312" w:hAnsi="楷体_GB2312" w:eastAsia="楷体_GB2312" w:cs="楷体_GB2312"/>
          <w:b w:val="0"/>
          <w:bCs w:val="0"/>
          <w:snapToGrid/>
          <w:color w:val="auto"/>
          <w:kern w:val="2"/>
          <w:sz w:val="32"/>
          <w:szCs w:val="32"/>
          <w:highlight w:val="none"/>
          <w:lang w:eastAsia="zh-CN"/>
        </w:rPr>
      </w:pPr>
      <w:r>
        <w:rPr>
          <w:rFonts w:hint="eastAsia" w:ascii="楷体_GB2312" w:hAnsi="楷体_GB2312" w:eastAsia="楷体_GB2312" w:cs="楷体_GB2312"/>
          <w:b w:val="0"/>
          <w:bCs w:val="0"/>
          <w:snapToGrid/>
          <w:color w:val="auto"/>
          <w:kern w:val="2"/>
          <w:sz w:val="32"/>
          <w:szCs w:val="32"/>
          <w:highlight w:val="none"/>
          <w:lang w:eastAsia="zh-CN"/>
        </w:rPr>
        <w:t>3.无阿片化多模式镇痛技术---我科独创的该项技术不仅具有国内领先性，也是国际一流的技术。</w:t>
      </w:r>
    </w:p>
    <w:p w14:paraId="59535D68">
      <w:pPr>
        <w:widowControl w:val="0"/>
        <w:kinsoku/>
        <w:autoSpaceDE/>
        <w:autoSpaceDN/>
        <w:adjustRightInd/>
        <w:snapToGrid/>
        <w:spacing w:line="560" w:lineRule="exact"/>
        <w:ind w:firstLine="640" w:firstLineChars="200"/>
        <w:jc w:val="both"/>
        <w:textAlignment w:val="auto"/>
        <w:rPr>
          <w:rFonts w:hint="eastAsia" w:ascii="仿宋_GB2312" w:hAnsi="仿宋_GB2312" w:eastAsia="仿宋_GB2312" w:cs="仿宋_GB2312"/>
          <w:snapToGrid/>
          <w:color w:val="auto"/>
          <w:kern w:val="2"/>
          <w:sz w:val="32"/>
          <w:szCs w:val="32"/>
          <w:highlight w:val="none"/>
          <w:lang w:eastAsia="zh-CN"/>
        </w:rPr>
      </w:pPr>
      <w:r>
        <w:rPr>
          <w:rFonts w:hint="eastAsia" w:ascii="仿宋_GB2312" w:hAnsi="仿宋_GB2312" w:eastAsia="仿宋_GB2312" w:cs="仿宋_GB2312"/>
          <w:snapToGrid/>
          <w:color w:val="auto"/>
          <w:kern w:val="2"/>
          <w:sz w:val="32"/>
          <w:szCs w:val="32"/>
          <w:highlight w:val="none"/>
          <w:lang w:eastAsia="zh-CN"/>
        </w:rPr>
        <w:t>我科在无阿片化多模式镇痛方面的创新，结合了国际麻醉学的先进理念与精细化管理，根据不同手术方式，不断探索，已逐步形成了一套独具特色的无阿片化多模式镇痛方案，不需要镇痛泵，不需要静脉输注，不需要肌肉注射</w:t>
      </w:r>
      <w:r>
        <w:rPr>
          <w:rFonts w:hint="eastAsia" w:ascii="仿宋_GB2312" w:hAnsi="仿宋_GB2312" w:eastAsia="仿宋_GB2312" w:cs="仿宋_GB2312"/>
          <w:snapToGrid/>
          <w:color w:val="auto"/>
          <w:kern w:val="2"/>
          <w:sz w:val="32"/>
          <w:szCs w:val="32"/>
          <w:highlight w:val="none"/>
          <w:lang w:val="en-US" w:eastAsia="zh-CN"/>
        </w:rPr>
        <w:t>。无阿片化多模式镇痛技术</w:t>
      </w:r>
      <w:r>
        <w:rPr>
          <w:rFonts w:hint="eastAsia" w:ascii="仿宋_GB2312" w:hAnsi="仿宋_GB2312" w:eastAsia="仿宋_GB2312" w:cs="仿宋_GB2312"/>
          <w:snapToGrid/>
          <w:color w:val="auto"/>
          <w:kern w:val="2"/>
          <w:sz w:val="32"/>
          <w:szCs w:val="32"/>
          <w:highlight w:val="none"/>
          <w:lang w:eastAsia="zh-CN"/>
        </w:rPr>
        <w:t>不仅能有效控制术后疼痛，为患者提供了更为安全和舒适的手术体验，还能减少医疗费用。</w:t>
      </w:r>
    </w:p>
    <w:p w14:paraId="191326E6">
      <w:pPr>
        <w:widowControl w:val="0"/>
        <w:kinsoku/>
        <w:autoSpaceDE/>
        <w:autoSpaceDN/>
        <w:adjustRightInd/>
        <w:snapToGrid/>
        <w:spacing w:line="560" w:lineRule="exact"/>
        <w:ind w:firstLine="640" w:firstLineChars="200"/>
        <w:jc w:val="both"/>
        <w:textAlignment w:val="auto"/>
        <w:rPr>
          <w:rFonts w:hint="eastAsia" w:ascii="黑体" w:hAnsi="黑体" w:eastAsia="黑体" w:cs="黑体"/>
          <w:b w:val="0"/>
          <w:bCs w:val="0"/>
          <w:snapToGrid/>
          <w:color w:val="auto"/>
          <w:kern w:val="2"/>
          <w:sz w:val="32"/>
          <w:szCs w:val="32"/>
          <w:highlight w:val="none"/>
          <w:lang w:eastAsia="zh-CN"/>
        </w:rPr>
      </w:pPr>
      <w:r>
        <w:rPr>
          <w:rFonts w:hint="eastAsia" w:ascii="黑体" w:hAnsi="黑体" w:eastAsia="黑体" w:cs="黑体"/>
          <w:b w:val="0"/>
          <w:bCs w:val="0"/>
          <w:snapToGrid/>
          <w:color w:val="auto"/>
          <w:kern w:val="2"/>
          <w:sz w:val="32"/>
          <w:szCs w:val="32"/>
          <w:highlight w:val="none"/>
          <w:lang w:eastAsia="zh-CN"/>
        </w:rPr>
        <w:t>四、科室团队结构</w:t>
      </w:r>
    </w:p>
    <w:p w14:paraId="0EC80120">
      <w:pPr>
        <w:widowControl w:val="0"/>
        <w:kinsoku/>
        <w:autoSpaceDE/>
        <w:autoSpaceDN/>
        <w:adjustRightInd/>
        <w:snapToGrid/>
        <w:spacing w:line="560" w:lineRule="exact"/>
        <w:ind w:firstLine="640" w:firstLineChars="200"/>
        <w:jc w:val="both"/>
        <w:textAlignment w:val="auto"/>
        <w:rPr>
          <w:rFonts w:hint="eastAsia" w:ascii="仿宋_GB2312" w:hAnsi="仿宋_GB2312" w:eastAsia="仿宋_GB2312" w:cs="仿宋_GB2312"/>
          <w:snapToGrid/>
          <w:color w:val="auto"/>
          <w:kern w:val="2"/>
          <w:sz w:val="32"/>
          <w:szCs w:val="32"/>
          <w:highlight w:val="none"/>
          <w:lang w:eastAsia="zh-CN"/>
        </w:rPr>
      </w:pPr>
      <w:r>
        <w:rPr>
          <w:rFonts w:hint="eastAsia" w:ascii="仿宋_GB2312" w:hAnsi="仿宋_GB2312" w:eastAsia="仿宋_GB2312" w:cs="仿宋_GB2312"/>
          <w:snapToGrid/>
          <w:color w:val="auto"/>
          <w:kern w:val="2"/>
          <w:sz w:val="32"/>
          <w:szCs w:val="32"/>
          <w:highlight w:val="none"/>
          <w:lang w:eastAsia="zh-CN"/>
        </w:rPr>
        <w:t>麻醉手术中心共有332人，其中麻醉医生102人，麻醉护士38人，手术室护士192人。硕士研究生导师8人，高级职称27人，占比32.41%；博士11人，硕士61人；手术室护理人员191人，麻醉专科护理人员43人，其中副主任护师8人，主管护师30人。</w:t>
      </w:r>
    </w:p>
    <w:p w14:paraId="29DFEB9D">
      <w:pPr>
        <w:widowControl w:val="0"/>
        <w:kinsoku/>
        <w:autoSpaceDE/>
        <w:autoSpaceDN/>
        <w:adjustRightInd/>
        <w:snapToGrid/>
        <w:spacing w:line="560" w:lineRule="exact"/>
        <w:ind w:firstLine="640" w:firstLineChars="200"/>
        <w:jc w:val="both"/>
        <w:textAlignment w:val="auto"/>
        <w:rPr>
          <w:rFonts w:hint="eastAsia" w:ascii="黑体" w:hAnsi="黑体" w:eastAsia="黑体" w:cs="黑体"/>
          <w:b w:val="0"/>
          <w:bCs w:val="0"/>
          <w:snapToGrid/>
          <w:color w:val="auto"/>
          <w:kern w:val="2"/>
          <w:sz w:val="32"/>
          <w:szCs w:val="32"/>
          <w:highlight w:val="none"/>
          <w:lang w:eastAsia="zh-CN"/>
        </w:rPr>
      </w:pPr>
      <w:r>
        <w:rPr>
          <w:rFonts w:hint="eastAsia" w:ascii="黑体" w:hAnsi="黑体" w:eastAsia="黑体" w:cs="黑体"/>
          <w:b w:val="0"/>
          <w:bCs w:val="0"/>
          <w:snapToGrid/>
          <w:color w:val="auto"/>
          <w:kern w:val="2"/>
          <w:sz w:val="32"/>
          <w:szCs w:val="32"/>
          <w:highlight w:val="none"/>
          <w:lang w:eastAsia="zh-CN"/>
        </w:rPr>
        <w:t>五、科室</w:t>
      </w:r>
      <w:bookmarkStart w:id="0" w:name="_GoBack"/>
      <w:bookmarkEnd w:id="0"/>
      <w:r>
        <w:rPr>
          <w:rFonts w:hint="eastAsia" w:ascii="黑体" w:hAnsi="黑体" w:eastAsia="黑体" w:cs="黑体"/>
          <w:b w:val="0"/>
          <w:bCs w:val="0"/>
          <w:snapToGrid/>
          <w:color w:val="auto"/>
          <w:kern w:val="2"/>
          <w:sz w:val="32"/>
          <w:szCs w:val="32"/>
          <w:highlight w:val="none"/>
          <w:lang w:eastAsia="zh-CN"/>
        </w:rPr>
        <w:t>团队成就</w:t>
      </w:r>
    </w:p>
    <w:p w14:paraId="0E5EA85A">
      <w:pPr>
        <w:widowControl w:val="0"/>
        <w:kinsoku/>
        <w:autoSpaceDE/>
        <w:autoSpaceDN/>
        <w:adjustRightInd/>
        <w:snapToGrid/>
        <w:spacing w:line="560" w:lineRule="exact"/>
        <w:ind w:firstLine="640" w:firstLineChars="200"/>
        <w:jc w:val="both"/>
        <w:textAlignment w:val="auto"/>
        <w:rPr>
          <w:rFonts w:hint="eastAsia" w:ascii="仿宋_GB2312" w:hAnsi="仿宋_GB2312" w:eastAsia="仿宋_GB2312" w:cs="仿宋_GB2312"/>
          <w:snapToGrid/>
          <w:color w:val="auto"/>
          <w:kern w:val="2"/>
          <w:sz w:val="32"/>
          <w:szCs w:val="32"/>
          <w:highlight w:val="none"/>
          <w:lang w:eastAsia="zh-CN"/>
        </w:rPr>
      </w:pPr>
      <w:r>
        <w:rPr>
          <w:rFonts w:hint="eastAsia" w:ascii="仿宋_GB2312" w:hAnsi="仿宋_GB2312" w:eastAsia="仿宋_GB2312" w:cs="仿宋_GB2312"/>
          <w:snapToGrid/>
          <w:color w:val="auto"/>
          <w:kern w:val="2"/>
          <w:sz w:val="32"/>
          <w:szCs w:val="32"/>
          <w:highlight w:val="none"/>
          <w:lang w:eastAsia="zh-CN"/>
        </w:rPr>
        <w:t>麻醉学科共获各种级别人才荣誉12人，其中：三级岗位2人、百千层次人才2人、省级科技人才1人、市厅级专家或人才8人。</w:t>
      </w:r>
    </w:p>
    <w:p w14:paraId="090D28BE">
      <w:pPr>
        <w:widowControl w:val="0"/>
        <w:kinsoku/>
        <w:autoSpaceDE/>
        <w:autoSpaceDN/>
        <w:adjustRightInd/>
        <w:snapToGrid/>
        <w:spacing w:line="560" w:lineRule="exact"/>
        <w:ind w:firstLine="640" w:firstLineChars="200"/>
        <w:jc w:val="both"/>
        <w:textAlignment w:val="auto"/>
        <w:rPr>
          <w:rFonts w:hint="eastAsia" w:ascii="仿宋_GB2312" w:hAnsi="仿宋_GB2312" w:eastAsia="仿宋_GB2312" w:cs="仿宋_GB2312"/>
          <w:snapToGrid/>
          <w:color w:val="auto"/>
          <w:kern w:val="2"/>
          <w:sz w:val="32"/>
          <w:szCs w:val="32"/>
          <w:highlight w:val="none"/>
          <w:lang w:eastAsia="zh-CN"/>
        </w:rPr>
      </w:pPr>
      <w:r>
        <w:rPr>
          <w:rFonts w:hint="eastAsia" w:ascii="仿宋_GB2312" w:hAnsi="仿宋_GB2312" w:eastAsia="仿宋_GB2312" w:cs="仿宋_GB2312"/>
          <w:snapToGrid/>
          <w:color w:val="auto"/>
          <w:kern w:val="2"/>
          <w:sz w:val="32"/>
          <w:szCs w:val="32"/>
          <w:highlight w:val="none"/>
          <w:lang w:eastAsia="zh-CN"/>
        </w:rPr>
        <w:t>全国专科排行榜：贵州省人民医院麻醉科 88名（2021年）。西南区专科声誉提名（2021年）。团队目前承担各种科研项目近30项，包括国家自然科学基金项目、省部级、市厅级、院级基金和GCP项目。</w:t>
      </w:r>
    </w:p>
    <w:p w14:paraId="1FCC12A2">
      <w:pPr>
        <w:rPr>
          <w:rFonts w:ascii="宋体" w:hAnsi="宋体" w:eastAsia="宋体"/>
          <w:color w:val="auto"/>
          <w:sz w:val="28"/>
          <w:szCs w:val="28"/>
          <w:highlight w:val="none"/>
        </w:rPr>
      </w:pPr>
      <w:r>
        <w:rPr>
          <w:rFonts w:hint="eastAsia"/>
          <w:color w:val="auto"/>
          <w:highlight w:val="none"/>
        </w:rPr>
        <w:drawing>
          <wp:inline distT="0" distB="0" distL="0" distR="0">
            <wp:extent cx="5274310" cy="2827655"/>
            <wp:effectExtent l="0" t="0" r="0" b="4445"/>
            <wp:docPr id="14405964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96496"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828174"/>
                    </a:xfrm>
                    <a:prstGeom prst="rect">
                      <a:avLst/>
                    </a:prstGeom>
                    <a:noFill/>
                    <a:ln>
                      <a:noFill/>
                    </a:ln>
                  </pic:spPr>
                </pic:pic>
              </a:graphicData>
            </a:graphic>
          </wp:inline>
        </w:drawing>
      </w:r>
    </w:p>
    <w:p w14:paraId="73D9998C">
      <w:pPr>
        <w:rPr>
          <w:rFonts w:ascii="宋体" w:hAnsi="宋体" w:eastAsia="宋体"/>
          <w:color w:val="auto"/>
          <w:sz w:val="28"/>
          <w:szCs w:val="28"/>
          <w:highlight w:val="none"/>
        </w:rPr>
      </w:pPr>
      <w:r>
        <w:rPr>
          <w:rFonts w:hint="eastAsia"/>
          <w:color w:val="auto"/>
          <w:highlight w:val="none"/>
        </w:rPr>
        <w:drawing>
          <wp:inline distT="0" distB="0" distL="0" distR="0">
            <wp:extent cx="5274310" cy="1861185"/>
            <wp:effectExtent l="0" t="0" r="0" b="5715"/>
            <wp:docPr id="1542822653" name="图片 4" descr="图片包含 户外, 前, 大&#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22653" name="图片 4" descr="图片包含 户外, 前, 大&#10;&#10;AI 生成的内容可能不正确。"/>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1861594"/>
                    </a:xfrm>
                    <a:prstGeom prst="rect">
                      <a:avLst/>
                    </a:prstGeom>
                    <a:noFill/>
                    <a:ln>
                      <a:noFill/>
                    </a:ln>
                  </pic:spPr>
                </pic:pic>
              </a:graphicData>
            </a:graphic>
          </wp:inline>
        </w:drawing>
      </w:r>
    </w:p>
    <w:p w14:paraId="0ED25473">
      <w:pPr>
        <w:rPr>
          <w:rFonts w:ascii="宋体" w:hAnsi="宋体" w:eastAsia="宋体"/>
          <w:color w:val="auto"/>
          <w:sz w:val="28"/>
          <w:szCs w:val="28"/>
          <w:highlight w:val="none"/>
        </w:rPr>
      </w:pPr>
      <w:r>
        <w:rPr>
          <w:rFonts w:ascii="仿宋" w:hAnsi="仿宋" w:eastAsia="仿宋" w:cs="仿宋"/>
          <w:color w:val="auto"/>
          <w:sz w:val="32"/>
          <w:szCs w:val="32"/>
          <w:highlight w:val="none"/>
        </w:rPr>
        <w:drawing>
          <wp:inline distT="0" distB="0" distL="0" distR="0">
            <wp:extent cx="5274310" cy="3294380"/>
            <wp:effectExtent l="0" t="0" r="0" b="0"/>
            <wp:docPr id="15293515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51508" name="图片 1"/>
                    <pic:cNvPicPr>
                      <a:picLocks noChangeAspect="1"/>
                    </pic:cNvPicPr>
                  </pic:nvPicPr>
                  <pic:blipFill>
                    <a:blip r:embed="rId8"/>
                    <a:stretch>
                      <a:fillRect/>
                    </a:stretch>
                  </pic:blipFill>
                  <pic:spPr>
                    <a:xfrm>
                      <a:off x="0" y="0"/>
                      <a:ext cx="5274310" cy="3294939"/>
                    </a:xfrm>
                    <a:prstGeom prst="rect">
                      <a:avLst/>
                    </a:prstGeom>
                  </pic:spPr>
                </pic:pic>
              </a:graphicData>
            </a:graphic>
          </wp:inline>
        </w:drawing>
      </w:r>
    </w:p>
    <w:sectPr>
      <w:footerReference r:id="rId3" w:type="default"/>
      <w:foot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Source Sans Pro">
    <w:altName w:val="DejaVu Math TeX Gyre"/>
    <w:panose1 w:val="020B0503030403020204"/>
    <w:charset w:val="00"/>
    <w:family w:val="swiss"/>
    <w:pitch w:val="default"/>
    <w:sig w:usb0="00000000" w:usb1="00000000" w:usb2="00000000" w:usb3="00000000" w:csb0="0000019F" w:csb1="00000000"/>
  </w:font>
  <w:font w:name="DejaVu Math TeX Gyre">
    <w:panose1 w:val="02000503000000000000"/>
    <w:charset w:val="00"/>
    <w:family w:val="auto"/>
    <w:pitch w:val="default"/>
    <w:sig w:usb0="A10000EF" w:usb1="4201F9EE" w:usb2="02000000" w:usb3="00000000" w:csb0="60000193" w:csb1="0DD4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0"/>
      </w:rPr>
      <w:id w:val="2045712530"/>
      <w:docPartObj>
        <w:docPartGallery w:val="autotext"/>
      </w:docPartObj>
    </w:sdtPr>
    <w:sdtEndPr>
      <w:rPr>
        <w:rStyle w:val="20"/>
      </w:rPr>
    </w:sdtEndPr>
    <w:sdtContent>
      <w:p w14:paraId="22B78235">
        <w:pPr>
          <w:pStyle w:val="13"/>
          <w:framePr w:wrap="auto" w:vAnchor="text" w:hAnchor="margin" w:xAlign="right" w:y="1"/>
          <w:rPr>
            <w:rStyle w:val="20"/>
          </w:rPr>
        </w:pPr>
        <w:r>
          <w:rPr>
            <w:rStyle w:val="20"/>
          </w:rPr>
          <w:fldChar w:fldCharType="begin"/>
        </w:r>
        <w:r>
          <w:rPr>
            <w:rStyle w:val="20"/>
          </w:rPr>
          <w:instrText xml:space="preserve"> PAGE </w:instrText>
        </w:r>
        <w:r>
          <w:rPr>
            <w:rStyle w:val="20"/>
          </w:rPr>
          <w:fldChar w:fldCharType="separate"/>
        </w:r>
        <w:r>
          <w:rPr>
            <w:rStyle w:val="20"/>
          </w:rPr>
          <w:t>3</w:t>
        </w:r>
        <w:r>
          <w:rPr>
            <w:rStyle w:val="20"/>
          </w:rPr>
          <w:fldChar w:fldCharType="end"/>
        </w:r>
      </w:p>
    </w:sdtContent>
  </w:sdt>
  <w:p w14:paraId="04FAC07F">
    <w:pPr>
      <w:pStyle w:val="1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0"/>
      </w:rPr>
      <w:id w:val="-1914540450"/>
      <w:docPartObj>
        <w:docPartGallery w:val="autotext"/>
      </w:docPartObj>
    </w:sdtPr>
    <w:sdtEndPr>
      <w:rPr>
        <w:rStyle w:val="20"/>
      </w:rPr>
    </w:sdtEndPr>
    <w:sdtContent>
      <w:p w14:paraId="3FDF3987">
        <w:pPr>
          <w:pStyle w:val="13"/>
          <w:framePr w:wrap="auto" w:vAnchor="text" w:hAnchor="margin" w:xAlign="right" w:y="1"/>
          <w:rPr>
            <w:rStyle w:val="20"/>
          </w:rPr>
        </w:pPr>
        <w:r>
          <w:rPr>
            <w:rStyle w:val="20"/>
          </w:rPr>
          <w:fldChar w:fldCharType="begin"/>
        </w:r>
        <w:r>
          <w:rPr>
            <w:rStyle w:val="20"/>
          </w:rPr>
          <w:instrText xml:space="preserve"> PAGE </w:instrText>
        </w:r>
        <w:r>
          <w:rPr>
            <w:rStyle w:val="20"/>
          </w:rPr>
          <w:fldChar w:fldCharType="end"/>
        </w:r>
      </w:p>
    </w:sdtContent>
  </w:sdt>
  <w:p w14:paraId="2C3672CF">
    <w:pPr>
      <w:pStyle w:val="13"/>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046B0A"/>
    <w:multiLevelType w:val="multilevel"/>
    <w:tmpl w:val="0A046B0A"/>
    <w:lvl w:ilvl="0" w:tentative="0">
      <w:start w:val="1"/>
      <w:numFmt w:val="decimal"/>
      <w:pStyle w:val="21"/>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7B2"/>
    <w:rsid w:val="00003CD2"/>
    <w:rsid w:val="000059DA"/>
    <w:rsid w:val="00023C5B"/>
    <w:rsid w:val="00027692"/>
    <w:rsid w:val="0003323B"/>
    <w:rsid w:val="0005053F"/>
    <w:rsid w:val="000551DE"/>
    <w:rsid w:val="00055CFC"/>
    <w:rsid w:val="00061461"/>
    <w:rsid w:val="00061502"/>
    <w:rsid w:val="00066456"/>
    <w:rsid w:val="00071B81"/>
    <w:rsid w:val="000745AF"/>
    <w:rsid w:val="00084629"/>
    <w:rsid w:val="000878F3"/>
    <w:rsid w:val="000938C1"/>
    <w:rsid w:val="00094265"/>
    <w:rsid w:val="0009566C"/>
    <w:rsid w:val="000B535A"/>
    <w:rsid w:val="000B6D1C"/>
    <w:rsid w:val="000B74BF"/>
    <w:rsid w:val="000C1C89"/>
    <w:rsid w:val="000C2ACC"/>
    <w:rsid w:val="000C4848"/>
    <w:rsid w:val="000D479D"/>
    <w:rsid w:val="000D5E1D"/>
    <w:rsid w:val="000E37A1"/>
    <w:rsid w:val="000E7890"/>
    <w:rsid w:val="000F1B4F"/>
    <w:rsid w:val="0010274D"/>
    <w:rsid w:val="0010742D"/>
    <w:rsid w:val="00122CE8"/>
    <w:rsid w:val="00125BCD"/>
    <w:rsid w:val="001311A7"/>
    <w:rsid w:val="00131EC3"/>
    <w:rsid w:val="001320D2"/>
    <w:rsid w:val="001367F8"/>
    <w:rsid w:val="001440F2"/>
    <w:rsid w:val="0014786F"/>
    <w:rsid w:val="001543F2"/>
    <w:rsid w:val="00164A4A"/>
    <w:rsid w:val="00166166"/>
    <w:rsid w:val="001672C3"/>
    <w:rsid w:val="00177044"/>
    <w:rsid w:val="001833DF"/>
    <w:rsid w:val="00185BF9"/>
    <w:rsid w:val="00192AE4"/>
    <w:rsid w:val="00193946"/>
    <w:rsid w:val="001A15CE"/>
    <w:rsid w:val="001B4D96"/>
    <w:rsid w:val="001B5BEE"/>
    <w:rsid w:val="001B5D1D"/>
    <w:rsid w:val="001B5D84"/>
    <w:rsid w:val="001C35C9"/>
    <w:rsid w:val="001C3648"/>
    <w:rsid w:val="001D4EDF"/>
    <w:rsid w:val="001D578E"/>
    <w:rsid w:val="001E5A37"/>
    <w:rsid w:val="001E6518"/>
    <w:rsid w:val="001F096D"/>
    <w:rsid w:val="001F1F68"/>
    <w:rsid w:val="001F3FBA"/>
    <w:rsid w:val="002004DB"/>
    <w:rsid w:val="00201CD6"/>
    <w:rsid w:val="00201D3F"/>
    <w:rsid w:val="00204519"/>
    <w:rsid w:val="00205847"/>
    <w:rsid w:val="00211658"/>
    <w:rsid w:val="0021216D"/>
    <w:rsid w:val="002151FD"/>
    <w:rsid w:val="002176E6"/>
    <w:rsid w:val="00221790"/>
    <w:rsid w:val="00222568"/>
    <w:rsid w:val="00223538"/>
    <w:rsid w:val="0022396F"/>
    <w:rsid w:val="0022454E"/>
    <w:rsid w:val="0023765F"/>
    <w:rsid w:val="00243369"/>
    <w:rsid w:val="00244B64"/>
    <w:rsid w:val="00245E33"/>
    <w:rsid w:val="00251CA7"/>
    <w:rsid w:val="0025587F"/>
    <w:rsid w:val="002559BF"/>
    <w:rsid w:val="002627D6"/>
    <w:rsid w:val="00263101"/>
    <w:rsid w:val="00263C86"/>
    <w:rsid w:val="00266113"/>
    <w:rsid w:val="0027570D"/>
    <w:rsid w:val="002832B8"/>
    <w:rsid w:val="002926B7"/>
    <w:rsid w:val="002A2F59"/>
    <w:rsid w:val="002A6909"/>
    <w:rsid w:val="002A73E2"/>
    <w:rsid w:val="002B4881"/>
    <w:rsid w:val="002C0536"/>
    <w:rsid w:val="002C1117"/>
    <w:rsid w:val="002C3F92"/>
    <w:rsid w:val="002C63A8"/>
    <w:rsid w:val="002D6C07"/>
    <w:rsid w:val="002E0890"/>
    <w:rsid w:val="002F045E"/>
    <w:rsid w:val="002F1FA6"/>
    <w:rsid w:val="002F564F"/>
    <w:rsid w:val="00302930"/>
    <w:rsid w:val="00304E4D"/>
    <w:rsid w:val="00312BF9"/>
    <w:rsid w:val="003211F2"/>
    <w:rsid w:val="00325980"/>
    <w:rsid w:val="003272DC"/>
    <w:rsid w:val="00331FB3"/>
    <w:rsid w:val="003359A7"/>
    <w:rsid w:val="00335D32"/>
    <w:rsid w:val="0034012B"/>
    <w:rsid w:val="003424F0"/>
    <w:rsid w:val="00350DDE"/>
    <w:rsid w:val="0035170F"/>
    <w:rsid w:val="0035779F"/>
    <w:rsid w:val="00357A6A"/>
    <w:rsid w:val="003702FC"/>
    <w:rsid w:val="00371860"/>
    <w:rsid w:val="00380E5B"/>
    <w:rsid w:val="00384BA5"/>
    <w:rsid w:val="00390254"/>
    <w:rsid w:val="003916F5"/>
    <w:rsid w:val="003A2BB9"/>
    <w:rsid w:val="003A3C1E"/>
    <w:rsid w:val="003B0D0B"/>
    <w:rsid w:val="003B2726"/>
    <w:rsid w:val="003B37A8"/>
    <w:rsid w:val="003B4DA2"/>
    <w:rsid w:val="003C0A54"/>
    <w:rsid w:val="003C17C4"/>
    <w:rsid w:val="003C6A1D"/>
    <w:rsid w:val="003D410D"/>
    <w:rsid w:val="003E1F22"/>
    <w:rsid w:val="003E622F"/>
    <w:rsid w:val="00411E7A"/>
    <w:rsid w:val="00414F31"/>
    <w:rsid w:val="00416D71"/>
    <w:rsid w:val="00417BA0"/>
    <w:rsid w:val="00433804"/>
    <w:rsid w:val="00435952"/>
    <w:rsid w:val="00451AB3"/>
    <w:rsid w:val="004578B7"/>
    <w:rsid w:val="00466579"/>
    <w:rsid w:val="004678B3"/>
    <w:rsid w:val="00467B30"/>
    <w:rsid w:val="004734B5"/>
    <w:rsid w:val="004739CF"/>
    <w:rsid w:val="00477C48"/>
    <w:rsid w:val="0048109F"/>
    <w:rsid w:val="00481888"/>
    <w:rsid w:val="00491E10"/>
    <w:rsid w:val="00492AAE"/>
    <w:rsid w:val="004A4A23"/>
    <w:rsid w:val="004A5718"/>
    <w:rsid w:val="004B2FC0"/>
    <w:rsid w:val="004B3322"/>
    <w:rsid w:val="004B4C75"/>
    <w:rsid w:val="004B575E"/>
    <w:rsid w:val="004C0272"/>
    <w:rsid w:val="004C443F"/>
    <w:rsid w:val="004C4C6C"/>
    <w:rsid w:val="004C6682"/>
    <w:rsid w:val="004C694A"/>
    <w:rsid w:val="004D41F9"/>
    <w:rsid w:val="004D6A39"/>
    <w:rsid w:val="004D7FF2"/>
    <w:rsid w:val="004E3369"/>
    <w:rsid w:val="004E3B46"/>
    <w:rsid w:val="004E719C"/>
    <w:rsid w:val="00502A64"/>
    <w:rsid w:val="00503AB4"/>
    <w:rsid w:val="00506C82"/>
    <w:rsid w:val="0051014E"/>
    <w:rsid w:val="00511220"/>
    <w:rsid w:val="00515180"/>
    <w:rsid w:val="00520ADE"/>
    <w:rsid w:val="005332F6"/>
    <w:rsid w:val="0054290A"/>
    <w:rsid w:val="00545317"/>
    <w:rsid w:val="005522CC"/>
    <w:rsid w:val="0055373D"/>
    <w:rsid w:val="00554C7E"/>
    <w:rsid w:val="00557B09"/>
    <w:rsid w:val="00563B14"/>
    <w:rsid w:val="00563D19"/>
    <w:rsid w:val="005665B8"/>
    <w:rsid w:val="005670C2"/>
    <w:rsid w:val="00575D05"/>
    <w:rsid w:val="00576192"/>
    <w:rsid w:val="00582B13"/>
    <w:rsid w:val="005914FD"/>
    <w:rsid w:val="00593848"/>
    <w:rsid w:val="005A3874"/>
    <w:rsid w:val="005B3EC9"/>
    <w:rsid w:val="005B7211"/>
    <w:rsid w:val="005C05F3"/>
    <w:rsid w:val="005C1397"/>
    <w:rsid w:val="005C13B2"/>
    <w:rsid w:val="005C2821"/>
    <w:rsid w:val="005C42E9"/>
    <w:rsid w:val="005C5859"/>
    <w:rsid w:val="005C6E40"/>
    <w:rsid w:val="005D27C0"/>
    <w:rsid w:val="005D3B5F"/>
    <w:rsid w:val="005E0A81"/>
    <w:rsid w:val="005E150D"/>
    <w:rsid w:val="005E3BCC"/>
    <w:rsid w:val="005E47B2"/>
    <w:rsid w:val="00603B99"/>
    <w:rsid w:val="00603D9B"/>
    <w:rsid w:val="00605BE5"/>
    <w:rsid w:val="0060712F"/>
    <w:rsid w:val="00611055"/>
    <w:rsid w:val="0061426C"/>
    <w:rsid w:val="00621B4A"/>
    <w:rsid w:val="00627E68"/>
    <w:rsid w:val="00632C64"/>
    <w:rsid w:val="006337A5"/>
    <w:rsid w:val="00636C5B"/>
    <w:rsid w:val="006408CC"/>
    <w:rsid w:val="006408D5"/>
    <w:rsid w:val="00644AC2"/>
    <w:rsid w:val="00650CC2"/>
    <w:rsid w:val="00652E9D"/>
    <w:rsid w:val="00653F5C"/>
    <w:rsid w:val="00660537"/>
    <w:rsid w:val="00663238"/>
    <w:rsid w:val="0066402F"/>
    <w:rsid w:val="00665610"/>
    <w:rsid w:val="00671EB8"/>
    <w:rsid w:val="006755B1"/>
    <w:rsid w:val="0067562E"/>
    <w:rsid w:val="006761A3"/>
    <w:rsid w:val="0067753D"/>
    <w:rsid w:val="0068009B"/>
    <w:rsid w:val="00696FAE"/>
    <w:rsid w:val="006979E4"/>
    <w:rsid w:val="006A7AAB"/>
    <w:rsid w:val="006B0E13"/>
    <w:rsid w:val="006B562F"/>
    <w:rsid w:val="006B5AB9"/>
    <w:rsid w:val="006B5B19"/>
    <w:rsid w:val="006C1F5E"/>
    <w:rsid w:val="006C7C5F"/>
    <w:rsid w:val="006D1927"/>
    <w:rsid w:val="006D20C2"/>
    <w:rsid w:val="006D3AA6"/>
    <w:rsid w:val="006D6193"/>
    <w:rsid w:val="006D7038"/>
    <w:rsid w:val="006E49CE"/>
    <w:rsid w:val="006F623B"/>
    <w:rsid w:val="006F6C34"/>
    <w:rsid w:val="00700BC9"/>
    <w:rsid w:val="00701579"/>
    <w:rsid w:val="00711833"/>
    <w:rsid w:val="007175C6"/>
    <w:rsid w:val="00720456"/>
    <w:rsid w:val="007255D4"/>
    <w:rsid w:val="00731E5E"/>
    <w:rsid w:val="0074223C"/>
    <w:rsid w:val="007423B5"/>
    <w:rsid w:val="0074249C"/>
    <w:rsid w:val="00747247"/>
    <w:rsid w:val="00750C90"/>
    <w:rsid w:val="00756EC4"/>
    <w:rsid w:val="007636BE"/>
    <w:rsid w:val="00765D46"/>
    <w:rsid w:val="00766604"/>
    <w:rsid w:val="0077117A"/>
    <w:rsid w:val="00773081"/>
    <w:rsid w:val="007730E7"/>
    <w:rsid w:val="00785DDD"/>
    <w:rsid w:val="00794C48"/>
    <w:rsid w:val="007A0476"/>
    <w:rsid w:val="007A75B2"/>
    <w:rsid w:val="007B019C"/>
    <w:rsid w:val="007C25CF"/>
    <w:rsid w:val="007C29F8"/>
    <w:rsid w:val="007C529C"/>
    <w:rsid w:val="007C7ABC"/>
    <w:rsid w:val="007D0708"/>
    <w:rsid w:val="007D0E61"/>
    <w:rsid w:val="007D149E"/>
    <w:rsid w:val="007E2300"/>
    <w:rsid w:val="007E2C45"/>
    <w:rsid w:val="007F2624"/>
    <w:rsid w:val="007F2D70"/>
    <w:rsid w:val="00810B90"/>
    <w:rsid w:val="00812AE7"/>
    <w:rsid w:val="00815C0F"/>
    <w:rsid w:val="00830EE2"/>
    <w:rsid w:val="00831BC6"/>
    <w:rsid w:val="00834B63"/>
    <w:rsid w:val="00843427"/>
    <w:rsid w:val="00843889"/>
    <w:rsid w:val="00846F99"/>
    <w:rsid w:val="00847514"/>
    <w:rsid w:val="008526B6"/>
    <w:rsid w:val="008556EF"/>
    <w:rsid w:val="00857213"/>
    <w:rsid w:val="0086321E"/>
    <w:rsid w:val="00864922"/>
    <w:rsid w:val="00864FF7"/>
    <w:rsid w:val="00866677"/>
    <w:rsid w:val="0087059A"/>
    <w:rsid w:val="0087473E"/>
    <w:rsid w:val="0087474A"/>
    <w:rsid w:val="00885FF6"/>
    <w:rsid w:val="00886A5F"/>
    <w:rsid w:val="008A00E5"/>
    <w:rsid w:val="008A327B"/>
    <w:rsid w:val="008A4982"/>
    <w:rsid w:val="008B1143"/>
    <w:rsid w:val="008B4703"/>
    <w:rsid w:val="008C4085"/>
    <w:rsid w:val="008C5CF1"/>
    <w:rsid w:val="008E22AB"/>
    <w:rsid w:val="008E2CFC"/>
    <w:rsid w:val="008E4298"/>
    <w:rsid w:val="008F33CD"/>
    <w:rsid w:val="008F4696"/>
    <w:rsid w:val="008F4C69"/>
    <w:rsid w:val="0090169D"/>
    <w:rsid w:val="0090372B"/>
    <w:rsid w:val="0090603B"/>
    <w:rsid w:val="00910E3B"/>
    <w:rsid w:val="00910FDA"/>
    <w:rsid w:val="009113EA"/>
    <w:rsid w:val="00911415"/>
    <w:rsid w:val="00914FAD"/>
    <w:rsid w:val="009206B6"/>
    <w:rsid w:val="0093191A"/>
    <w:rsid w:val="00932EF0"/>
    <w:rsid w:val="009340C1"/>
    <w:rsid w:val="009417C3"/>
    <w:rsid w:val="00941B01"/>
    <w:rsid w:val="00942A7F"/>
    <w:rsid w:val="00946AD9"/>
    <w:rsid w:val="00951384"/>
    <w:rsid w:val="00953571"/>
    <w:rsid w:val="00953A63"/>
    <w:rsid w:val="00954B4D"/>
    <w:rsid w:val="00961507"/>
    <w:rsid w:val="0096457D"/>
    <w:rsid w:val="009677DB"/>
    <w:rsid w:val="00971906"/>
    <w:rsid w:val="0097204D"/>
    <w:rsid w:val="00980D97"/>
    <w:rsid w:val="00990965"/>
    <w:rsid w:val="00994733"/>
    <w:rsid w:val="009953B5"/>
    <w:rsid w:val="009A083A"/>
    <w:rsid w:val="009B37B2"/>
    <w:rsid w:val="009B40E7"/>
    <w:rsid w:val="009B4C40"/>
    <w:rsid w:val="009C32C8"/>
    <w:rsid w:val="009E2F71"/>
    <w:rsid w:val="009E4BA6"/>
    <w:rsid w:val="009E7934"/>
    <w:rsid w:val="009F2FCA"/>
    <w:rsid w:val="009F4445"/>
    <w:rsid w:val="00A02745"/>
    <w:rsid w:val="00A04544"/>
    <w:rsid w:val="00A04B01"/>
    <w:rsid w:val="00A110EA"/>
    <w:rsid w:val="00A1142D"/>
    <w:rsid w:val="00A15E79"/>
    <w:rsid w:val="00A22BD6"/>
    <w:rsid w:val="00A2412D"/>
    <w:rsid w:val="00A32BCF"/>
    <w:rsid w:val="00A32FFB"/>
    <w:rsid w:val="00A34190"/>
    <w:rsid w:val="00A3796B"/>
    <w:rsid w:val="00A51C63"/>
    <w:rsid w:val="00A56030"/>
    <w:rsid w:val="00A6398A"/>
    <w:rsid w:val="00A740C2"/>
    <w:rsid w:val="00A749D0"/>
    <w:rsid w:val="00A808A6"/>
    <w:rsid w:val="00A8145E"/>
    <w:rsid w:val="00A8395E"/>
    <w:rsid w:val="00A854BE"/>
    <w:rsid w:val="00A8721B"/>
    <w:rsid w:val="00A95026"/>
    <w:rsid w:val="00AA2F3D"/>
    <w:rsid w:val="00AB0ED6"/>
    <w:rsid w:val="00AB2307"/>
    <w:rsid w:val="00AC7044"/>
    <w:rsid w:val="00AD00E9"/>
    <w:rsid w:val="00AD2095"/>
    <w:rsid w:val="00AD5E86"/>
    <w:rsid w:val="00AD781F"/>
    <w:rsid w:val="00AE1C52"/>
    <w:rsid w:val="00AF0D88"/>
    <w:rsid w:val="00AF291F"/>
    <w:rsid w:val="00AF3324"/>
    <w:rsid w:val="00AF34DB"/>
    <w:rsid w:val="00AF6754"/>
    <w:rsid w:val="00B01ED1"/>
    <w:rsid w:val="00B02D50"/>
    <w:rsid w:val="00B02E48"/>
    <w:rsid w:val="00B11D84"/>
    <w:rsid w:val="00B171E5"/>
    <w:rsid w:val="00B260E3"/>
    <w:rsid w:val="00B26469"/>
    <w:rsid w:val="00B304DB"/>
    <w:rsid w:val="00B35E4C"/>
    <w:rsid w:val="00B47254"/>
    <w:rsid w:val="00B47534"/>
    <w:rsid w:val="00B51F5D"/>
    <w:rsid w:val="00B53C4D"/>
    <w:rsid w:val="00B63197"/>
    <w:rsid w:val="00B64F0F"/>
    <w:rsid w:val="00B67D20"/>
    <w:rsid w:val="00B7312D"/>
    <w:rsid w:val="00B7376C"/>
    <w:rsid w:val="00B75799"/>
    <w:rsid w:val="00B8149F"/>
    <w:rsid w:val="00B81668"/>
    <w:rsid w:val="00B82496"/>
    <w:rsid w:val="00B84E84"/>
    <w:rsid w:val="00B853C0"/>
    <w:rsid w:val="00B858C5"/>
    <w:rsid w:val="00B915C4"/>
    <w:rsid w:val="00B91CF5"/>
    <w:rsid w:val="00B978A3"/>
    <w:rsid w:val="00BA1A92"/>
    <w:rsid w:val="00BA4D16"/>
    <w:rsid w:val="00BA7699"/>
    <w:rsid w:val="00BC775E"/>
    <w:rsid w:val="00BD1CD0"/>
    <w:rsid w:val="00BD71AD"/>
    <w:rsid w:val="00BD783A"/>
    <w:rsid w:val="00BE19BE"/>
    <w:rsid w:val="00BE3F3E"/>
    <w:rsid w:val="00BE4485"/>
    <w:rsid w:val="00BF0312"/>
    <w:rsid w:val="00BF09F6"/>
    <w:rsid w:val="00C022B6"/>
    <w:rsid w:val="00C06198"/>
    <w:rsid w:val="00C10A7F"/>
    <w:rsid w:val="00C127B8"/>
    <w:rsid w:val="00C13C33"/>
    <w:rsid w:val="00C23335"/>
    <w:rsid w:val="00C244A8"/>
    <w:rsid w:val="00C413D3"/>
    <w:rsid w:val="00C4558B"/>
    <w:rsid w:val="00C5554A"/>
    <w:rsid w:val="00C55AA7"/>
    <w:rsid w:val="00C57317"/>
    <w:rsid w:val="00C574F2"/>
    <w:rsid w:val="00C63FC6"/>
    <w:rsid w:val="00C649EE"/>
    <w:rsid w:val="00C74302"/>
    <w:rsid w:val="00C801D3"/>
    <w:rsid w:val="00C9314B"/>
    <w:rsid w:val="00CA0474"/>
    <w:rsid w:val="00CA3CA7"/>
    <w:rsid w:val="00CA7B68"/>
    <w:rsid w:val="00CB0769"/>
    <w:rsid w:val="00CB3540"/>
    <w:rsid w:val="00CB6D16"/>
    <w:rsid w:val="00CC2C94"/>
    <w:rsid w:val="00CC5037"/>
    <w:rsid w:val="00CC5771"/>
    <w:rsid w:val="00CC58F6"/>
    <w:rsid w:val="00CC78BA"/>
    <w:rsid w:val="00CD7AAF"/>
    <w:rsid w:val="00CE0D0A"/>
    <w:rsid w:val="00CE7D55"/>
    <w:rsid w:val="00CF06E7"/>
    <w:rsid w:val="00CF2B7D"/>
    <w:rsid w:val="00CF4AC4"/>
    <w:rsid w:val="00CF7998"/>
    <w:rsid w:val="00D03E53"/>
    <w:rsid w:val="00D0579E"/>
    <w:rsid w:val="00D075CB"/>
    <w:rsid w:val="00D078D4"/>
    <w:rsid w:val="00D0794A"/>
    <w:rsid w:val="00D23158"/>
    <w:rsid w:val="00D237D3"/>
    <w:rsid w:val="00D3527C"/>
    <w:rsid w:val="00D542F4"/>
    <w:rsid w:val="00D65CE0"/>
    <w:rsid w:val="00D65F9D"/>
    <w:rsid w:val="00D73B4B"/>
    <w:rsid w:val="00D85E6F"/>
    <w:rsid w:val="00D916E9"/>
    <w:rsid w:val="00D925C9"/>
    <w:rsid w:val="00D969BC"/>
    <w:rsid w:val="00D96EBD"/>
    <w:rsid w:val="00DA339D"/>
    <w:rsid w:val="00DB36EB"/>
    <w:rsid w:val="00DB407B"/>
    <w:rsid w:val="00DB76CD"/>
    <w:rsid w:val="00DC1637"/>
    <w:rsid w:val="00DC1853"/>
    <w:rsid w:val="00DC47B1"/>
    <w:rsid w:val="00DC7C94"/>
    <w:rsid w:val="00DD4A37"/>
    <w:rsid w:val="00DD7AAD"/>
    <w:rsid w:val="00DE3528"/>
    <w:rsid w:val="00DE4D0B"/>
    <w:rsid w:val="00DE7249"/>
    <w:rsid w:val="00DE7B53"/>
    <w:rsid w:val="00DE7C1B"/>
    <w:rsid w:val="00DF3E93"/>
    <w:rsid w:val="00E03CBA"/>
    <w:rsid w:val="00E046EE"/>
    <w:rsid w:val="00E21CE5"/>
    <w:rsid w:val="00E27A06"/>
    <w:rsid w:val="00E304C9"/>
    <w:rsid w:val="00E310A2"/>
    <w:rsid w:val="00E3194A"/>
    <w:rsid w:val="00E346E0"/>
    <w:rsid w:val="00E3575F"/>
    <w:rsid w:val="00E40893"/>
    <w:rsid w:val="00E41A1D"/>
    <w:rsid w:val="00E428E1"/>
    <w:rsid w:val="00E46667"/>
    <w:rsid w:val="00E500DF"/>
    <w:rsid w:val="00E52335"/>
    <w:rsid w:val="00E6633B"/>
    <w:rsid w:val="00E75B31"/>
    <w:rsid w:val="00E80184"/>
    <w:rsid w:val="00E8043E"/>
    <w:rsid w:val="00E8363B"/>
    <w:rsid w:val="00E849AC"/>
    <w:rsid w:val="00E863AF"/>
    <w:rsid w:val="00E949B7"/>
    <w:rsid w:val="00E96BB7"/>
    <w:rsid w:val="00EA121C"/>
    <w:rsid w:val="00EA2C79"/>
    <w:rsid w:val="00EB5A54"/>
    <w:rsid w:val="00EC0CE9"/>
    <w:rsid w:val="00EC7D5C"/>
    <w:rsid w:val="00EF35B7"/>
    <w:rsid w:val="00EF6FD5"/>
    <w:rsid w:val="00F075B7"/>
    <w:rsid w:val="00F07900"/>
    <w:rsid w:val="00F125B0"/>
    <w:rsid w:val="00F24CDB"/>
    <w:rsid w:val="00F269BE"/>
    <w:rsid w:val="00F26C57"/>
    <w:rsid w:val="00F30250"/>
    <w:rsid w:val="00F362AB"/>
    <w:rsid w:val="00F374E4"/>
    <w:rsid w:val="00F4429A"/>
    <w:rsid w:val="00F5441E"/>
    <w:rsid w:val="00F61F67"/>
    <w:rsid w:val="00F644CF"/>
    <w:rsid w:val="00F677DC"/>
    <w:rsid w:val="00F749E8"/>
    <w:rsid w:val="00F76A78"/>
    <w:rsid w:val="00F80187"/>
    <w:rsid w:val="00F82CE3"/>
    <w:rsid w:val="00F84745"/>
    <w:rsid w:val="00F86DBA"/>
    <w:rsid w:val="00F94C60"/>
    <w:rsid w:val="00F961D4"/>
    <w:rsid w:val="00F973D3"/>
    <w:rsid w:val="00FA10B1"/>
    <w:rsid w:val="00FA356C"/>
    <w:rsid w:val="00FB0641"/>
    <w:rsid w:val="00FB428B"/>
    <w:rsid w:val="00FC0D8C"/>
    <w:rsid w:val="00FC6CB3"/>
    <w:rsid w:val="00FD2BC9"/>
    <w:rsid w:val="00FE4EF5"/>
    <w:rsid w:val="00FE691D"/>
    <w:rsid w:val="00FE7CB4"/>
    <w:rsid w:val="02BB76D8"/>
    <w:rsid w:val="218872DA"/>
    <w:rsid w:val="33E85568"/>
    <w:rsid w:val="371B60A2"/>
    <w:rsid w:val="5AEB64FF"/>
    <w:rsid w:val="5EC9587D"/>
    <w:rsid w:val="794639A6"/>
    <w:rsid w:val="7EDA48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4"/>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5"/>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6"/>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7"/>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8"/>
    <w:semiHidden/>
    <w:unhideWhenUsed/>
    <w:qFormat/>
    <w:uiPriority w:val="9"/>
    <w:pPr>
      <w:keepNext/>
      <w:keepLines/>
      <w:spacing w:before="80" w:after="40"/>
      <w:outlineLvl w:val="4"/>
    </w:pPr>
    <w:rPr>
      <w:rFonts w:cstheme="majorBidi"/>
      <w:color w:val="104862" w:themeColor="accent1" w:themeShade="BF"/>
      <w:sz w:val="24"/>
    </w:rPr>
  </w:style>
  <w:style w:type="paragraph" w:styleId="7">
    <w:name w:val="heading 6"/>
    <w:basedOn w:val="1"/>
    <w:next w:val="1"/>
    <w:link w:val="29"/>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30"/>
    <w:semiHidden/>
    <w:unhideWhenUsed/>
    <w:qFormat/>
    <w:uiPriority w:val="9"/>
    <w:pPr>
      <w:keepNext/>
      <w:keepLines/>
      <w:spacing w:before="40"/>
      <w:outlineLvl w:val="6"/>
    </w:pPr>
    <w:rPr>
      <w:rFonts w:cstheme="majorBidi"/>
      <w:b/>
      <w:bCs/>
      <w:color w:val="858585" w:themeColor="text1" w:themeTint="A6"/>
      <w14:textFill>
        <w14:solidFill>
          <w14:schemeClr w14:val="tx1">
            <w14:lumMod w14:val="65000"/>
            <w14:lumOff w14:val="35000"/>
          </w14:schemeClr>
        </w14:solidFill>
      </w14:textFill>
    </w:rPr>
  </w:style>
  <w:style w:type="paragraph" w:styleId="9">
    <w:name w:val="heading 8"/>
    <w:basedOn w:val="1"/>
    <w:next w:val="1"/>
    <w:link w:val="31"/>
    <w:semiHidden/>
    <w:unhideWhenUsed/>
    <w:qFormat/>
    <w:uiPriority w:val="9"/>
    <w:pPr>
      <w:keepNext/>
      <w:keepLines/>
      <w:outlineLvl w:val="7"/>
    </w:pPr>
    <w:rPr>
      <w:rFonts w:cstheme="majorBidi"/>
      <w:color w:val="858585" w:themeColor="text1" w:themeTint="A6"/>
      <w14:textFill>
        <w14:solidFill>
          <w14:schemeClr w14:val="tx1">
            <w14:lumMod w14:val="65000"/>
            <w14:lumOff w14:val="35000"/>
          </w14:schemeClr>
        </w14:solidFill>
      </w14:textFill>
    </w:rPr>
  </w:style>
  <w:style w:type="paragraph" w:styleId="10">
    <w:name w:val="heading 9"/>
    <w:basedOn w:val="1"/>
    <w:next w:val="1"/>
    <w:link w:val="32"/>
    <w:semiHidden/>
    <w:unhideWhenUsed/>
    <w:qFormat/>
    <w:uiPriority w:val="9"/>
    <w:pPr>
      <w:keepNext/>
      <w:keepLines/>
      <w:outlineLvl w:val="8"/>
    </w:pPr>
    <w:rPr>
      <w:rFonts w:eastAsiaTheme="majorEastAsia" w:cstheme="majorBidi"/>
      <w:color w:val="858585" w:themeColor="text1" w:themeTint="A6"/>
      <w14:textFill>
        <w14:solidFill>
          <w14:schemeClr w14:val="tx1">
            <w14:lumMod w14:val="65000"/>
            <w14:lumOff w14:val="35000"/>
          </w14:schemeClr>
        </w14:solidFill>
      </w14:textFill>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Body Text"/>
    <w:basedOn w:val="1"/>
    <w:semiHidden/>
    <w:qFormat/>
    <w:uiPriority w:val="0"/>
    <w:rPr>
      <w:rFonts w:ascii="仿宋" w:hAnsi="仿宋" w:eastAsia="仿宋" w:cs="仿宋"/>
      <w:sz w:val="36"/>
      <w:szCs w:val="36"/>
      <w:lang w:val="en-US" w:eastAsia="en-US" w:bidi="ar-SA"/>
    </w:rPr>
  </w:style>
  <w:style w:type="paragraph" w:styleId="12">
    <w:name w:val="Body Text Indent"/>
    <w:basedOn w:val="1"/>
    <w:qFormat/>
    <w:uiPriority w:val="99"/>
    <w:pPr>
      <w:ind w:firstLine="560" w:firstLineChars="200"/>
    </w:pPr>
    <w:rPr>
      <w:sz w:val="28"/>
    </w:rPr>
  </w:style>
  <w:style w:type="paragraph" w:styleId="13">
    <w:name w:val="footer"/>
    <w:basedOn w:val="1"/>
    <w:link w:val="42"/>
    <w:unhideWhenUsed/>
    <w:qFormat/>
    <w:uiPriority w:val="99"/>
    <w:pPr>
      <w:tabs>
        <w:tab w:val="center" w:pos="4153"/>
        <w:tab w:val="right" w:pos="8306"/>
      </w:tabs>
      <w:snapToGrid w:val="0"/>
      <w:jc w:val="left"/>
    </w:pPr>
    <w:rPr>
      <w:sz w:val="18"/>
      <w:szCs w:val="18"/>
    </w:rPr>
  </w:style>
  <w:style w:type="paragraph" w:styleId="14">
    <w:name w:val="Subtitle"/>
    <w:basedOn w:val="1"/>
    <w:next w:val="1"/>
    <w:link w:val="34"/>
    <w:qFormat/>
    <w:uiPriority w:val="11"/>
    <w:pPr>
      <w:spacing w:after="160"/>
      <w:jc w:val="center"/>
    </w:pPr>
    <w:rPr>
      <w:rFonts w:asciiTheme="majorHAnsi" w:hAnsiTheme="majorHAnsi" w:eastAsiaTheme="majorEastAsia" w:cstheme="majorBidi"/>
      <w:color w:val="858585" w:themeColor="text1" w:themeTint="A6"/>
      <w:spacing w:val="15"/>
      <w:sz w:val="28"/>
      <w:szCs w:val="28"/>
      <w14:textFill>
        <w14:solidFill>
          <w14:schemeClr w14:val="tx1">
            <w14:lumMod w14:val="65000"/>
            <w14:lumOff w14:val="35000"/>
          </w14:schemeClr>
        </w14:solidFill>
      </w14:textFill>
    </w:rPr>
  </w:style>
  <w:style w:type="paragraph" w:styleId="1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6">
    <w:name w:val="Title"/>
    <w:basedOn w:val="1"/>
    <w:next w:val="1"/>
    <w:link w:val="33"/>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styleId="17">
    <w:name w:val="Body Text First Indent 2"/>
    <w:basedOn w:val="12"/>
    <w:qFormat/>
    <w:uiPriority w:val="0"/>
    <w:pPr>
      <w:ind w:firstLine="420"/>
    </w:pPr>
  </w:style>
  <w:style w:type="character" w:styleId="20">
    <w:name w:val="page number"/>
    <w:basedOn w:val="19"/>
    <w:semiHidden/>
    <w:unhideWhenUsed/>
    <w:qFormat/>
    <w:uiPriority w:val="99"/>
  </w:style>
  <w:style w:type="paragraph" w:customStyle="1" w:styleId="21">
    <w:name w:val="样式1"/>
    <w:basedOn w:val="1"/>
    <w:autoRedefine/>
    <w:qFormat/>
    <w:uiPriority w:val="0"/>
    <w:pPr>
      <w:numPr>
        <w:ilvl w:val="0"/>
        <w:numId w:val="1"/>
      </w:numPr>
      <w:spacing w:line="360" w:lineRule="auto"/>
    </w:pPr>
    <w:rPr>
      <w:rFonts w:ascii="Times New Roman" w:hAnsi="Times New Roman" w:eastAsia="等线" w:cs="Times New Roman"/>
      <w:b/>
      <w:bCs/>
      <w:color w:val="000000"/>
      <w:sz w:val="24"/>
      <w:szCs w:val="21"/>
    </w:rPr>
  </w:style>
  <w:style w:type="paragraph" w:customStyle="1" w:styleId="22">
    <w:name w:val="样式2"/>
    <w:basedOn w:val="1"/>
    <w:autoRedefine/>
    <w:qFormat/>
    <w:uiPriority w:val="0"/>
    <w:pPr>
      <w:widowControl/>
      <w:shd w:val="clear" w:color="auto" w:fill="FFFFFF"/>
      <w:jc w:val="left"/>
    </w:pPr>
    <w:rPr>
      <w:rFonts w:ascii="Source Sans Pro" w:hAnsi="Source Sans Pro" w:eastAsia="Times New Roman" w:cs="Arial"/>
      <w:color w:val="0B3041" w:themeColor="accent1" w:themeShade="80"/>
      <w:kern w:val="0"/>
      <w:sz w:val="24"/>
      <w:szCs w:val="28"/>
    </w:rPr>
  </w:style>
  <w:style w:type="paragraph" w:customStyle="1" w:styleId="23">
    <w:name w:val="样式3"/>
    <w:basedOn w:val="1"/>
    <w:autoRedefine/>
    <w:qFormat/>
    <w:uiPriority w:val="0"/>
    <w:pPr>
      <w:spacing w:line="360" w:lineRule="auto"/>
    </w:pPr>
    <w:rPr>
      <w:rFonts w:ascii="Times New Roman" w:hAnsi="Times New Roman" w:eastAsia="等线" w:cs="Times New Roman"/>
      <w:b/>
      <w:bCs/>
      <w:szCs w:val="21"/>
    </w:rPr>
  </w:style>
  <w:style w:type="character" w:customStyle="1" w:styleId="24">
    <w:name w:val="标题 1 字符"/>
    <w:basedOn w:val="19"/>
    <w:link w:val="2"/>
    <w:qFormat/>
    <w:uiPriority w:val="9"/>
    <w:rPr>
      <w:rFonts w:asciiTheme="majorHAnsi" w:hAnsiTheme="majorHAnsi" w:eastAsiaTheme="majorEastAsia" w:cstheme="majorBidi"/>
      <w:color w:val="104862" w:themeColor="accent1" w:themeShade="BF"/>
      <w:sz w:val="48"/>
      <w:szCs w:val="48"/>
    </w:rPr>
  </w:style>
  <w:style w:type="character" w:customStyle="1" w:styleId="25">
    <w:name w:val="标题 2 字符"/>
    <w:basedOn w:val="19"/>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6">
    <w:name w:val="标题 3 字符"/>
    <w:basedOn w:val="19"/>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7">
    <w:name w:val="标题 4 字符"/>
    <w:basedOn w:val="19"/>
    <w:link w:val="5"/>
    <w:semiHidden/>
    <w:qFormat/>
    <w:uiPriority w:val="9"/>
    <w:rPr>
      <w:rFonts w:cstheme="majorBidi"/>
      <w:color w:val="104862" w:themeColor="accent1" w:themeShade="BF"/>
      <w:sz w:val="28"/>
      <w:szCs w:val="28"/>
    </w:rPr>
  </w:style>
  <w:style w:type="character" w:customStyle="1" w:styleId="28">
    <w:name w:val="标题 5 字符"/>
    <w:basedOn w:val="19"/>
    <w:link w:val="6"/>
    <w:semiHidden/>
    <w:qFormat/>
    <w:uiPriority w:val="9"/>
    <w:rPr>
      <w:rFonts w:cstheme="majorBidi"/>
      <w:color w:val="104862" w:themeColor="accent1" w:themeShade="BF"/>
      <w:sz w:val="24"/>
    </w:rPr>
  </w:style>
  <w:style w:type="character" w:customStyle="1" w:styleId="29">
    <w:name w:val="标题 6 字符"/>
    <w:basedOn w:val="19"/>
    <w:link w:val="7"/>
    <w:semiHidden/>
    <w:qFormat/>
    <w:uiPriority w:val="9"/>
    <w:rPr>
      <w:rFonts w:cstheme="majorBidi"/>
      <w:b/>
      <w:bCs/>
      <w:color w:val="104862" w:themeColor="accent1" w:themeShade="BF"/>
    </w:rPr>
  </w:style>
  <w:style w:type="character" w:customStyle="1" w:styleId="30">
    <w:name w:val="标题 7 字符"/>
    <w:basedOn w:val="19"/>
    <w:link w:val="8"/>
    <w:semiHidden/>
    <w:qFormat/>
    <w:uiPriority w:val="9"/>
    <w:rPr>
      <w:rFonts w:cstheme="majorBidi"/>
      <w:b/>
      <w:bCs/>
      <w:color w:val="858585" w:themeColor="text1" w:themeTint="A6"/>
      <w14:textFill>
        <w14:solidFill>
          <w14:schemeClr w14:val="tx1">
            <w14:lumMod w14:val="65000"/>
            <w14:lumOff w14:val="35000"/>
          </w14:schemeClr>
        </w14:solidFill>
      </w14:textFill>
    </w:rPr>
  </w:style>
  <w:style w:type="character" w:customStyle="1" w:styleId="31">
    <w:name w:val="标题 8 字符"/>
    <w:basedOn w:val="19"/>
    <w:link w:val="9"/>
    <w:semiHidden/>
    <w:qFormat/>
    <w:uiPriority w:val="9"/>
    <w:rPr>
      <w:rFonts w:cstheme="majorBidi"/>
      <w:color w:val="858585" w:themeColor="text1" w:themeTint="A6"/>
      <w14:textFill>
        <w14:solidFill>
          <w14:schemeClr w14:val="tx1">
            <w14:lumMod w14:val="65000"/>
            <w14:lumOff w14:val="35000"/>
          </w14:schemeClr>
        </w14:solidFill>
      </w14:textFill>
    </w:rPr>
  </w:style>
  <w:style w:type="character" w:customStyle="1" w:styleId="32">
    <w:name w:val="标题 9 字符"/>
    <w:basedOn w:val="19"/>
    <w:link w:val="10"/>
    <w:semiHidden/>
    <w:qFormat/>
    <w:uiPriority w:val="9"/>
    <w:rPr>
      <w:rFonts w:eastAsiaTheme="majorEastAsia" w:cstheme="majorBidi"/>
      <w:color w:val="858585" w:themeColor="text1" w:themeTint="A6"/>
      <w14:textFill>
        <w14:solidFill>
          <w14:schemeClr w14:val="tx1">
            <w14:lumMod w14:val="65000"/>
            <w14:lumOff w14:val="35000"/>
          </w14:schemeClr>
        </w14:solidFill>
      </w14:textFill>
    </w:rPr>
  </w:style>
  <w:style w:type="character" w:customStyle="1" w:styleId="33">
    <w:name w:val="标题 字符"/>
    <w:basedOn w:val="19"/>
    <w:link w:val="16"/>
    <w:qFormat/>
    <w:uiPriority w:val="10"/>
    <w:rPr>
      <w:rFonts w:asciiTheme="majorHAnsi" w:hAnsiTheme="majorHAnsi" w:eastAsiaTheme="majorEastAsia" w:cstheme="majorBidi"/>
      <w:spacing w:val="-10"/>
      <w:kern w:val="28"/>
      <w:sz w:val="56"/>
      <w:szCs w:val="56"/>
    </w:rPr>
  </w:style>
  <w:style w:type="character" w:customStyle="1" w:styleId="34">
    <w:name w:val="副标题 字符"/>
    <w:basedOn w:val="19"/>
    <w:link w:val="14"/>
    <w:qFormat/>
    <w:uiPriority w:val="11"/>
    <w:rPr>
      <w:rFonts w:asciiTheme="majorHAnsi" w:hAnsiTheme="majorHAnsi" w:eastAsiaTheme="majorEastAsia" w:cstheme="majorBidi"/>
      <w:color w:val="858585" w:themeColor="text1" w:themeTint="A6"/>
      <w:spacing w:val="15"/>
      <w:sz w:val="28"/>
      <w:szCs w:val="28"/>
      <w14:textFill>
        <w14:solidFill>
          <w14:schemeClr w14:val="tx1">
            <w14:lumMod w14:val="65000"/>
            <w14:lumOff w14:val="35000"/>
          </w14:schemeClr>
        </w14:solidFill>
      </w14:textFill>
    </w:rPr>
  </w:style>
  <w:style w:type="paragraph" w:styleId="35">
    <w:name w:val="Quote"/>
    <w:basedOn w:val="1"/>
    <w:next w:val="1"/>
    <w:link w:val="36"/>
    <w:qFormat/>
    <w:uiPriority w:val="29"/>
    <w:pPr>
      <w:spacing w:before="160" w:after="160"/>
      <w:jc w:val="center"/>
    </w:pPr>
    <w:rPr>
      <w:i/>
      <w:iCs/>
      <w:color w:val="737373" w:themeColor="text1" w:themeTint="BF"/>
      <w14:textFill>
        <w14:solidFill>
          <w14:schemeClr w14:val="tx1">
            <w14:lumMod w14:val="75000"/>
            <w14:lumOff w14:val="25000"/>
          </w14:schemeClr>
        </w14:solidFill>
      </w14:textFill>
    </w:rPr>
  </w:style>
  <w:style w:type="character" w:customStyle="1" w:styleId="36">
    <w:name w:val="引用 字符"/>
    <w:basedOn w:val="19"/>
    <w:link w:val="35"/>
    <w:qFormat/>
    <w:uiPriority w:val="29"/>
    <w:rPr>
      <w:i/>
      <w:iCs/>
      <w:color w:val="737373" w:themeColor="text1" w:themeTint="BF"/>
      <w14:textFill>
        <w14:solidFill>
          <w14:schemeClr w14:val="tx1">
            <w14:lumMod w14:val="75000"/>
            <w14:lumOff w14:val="25000"/>
          </w14:schemeClr>
        </w14:solidFill>
      </w14:textFill>
    </w:rPr>
  </w:style>
  <w:style w:type="paragraph" w:styleId="37">
    <w:name w:val="List Paragraph"/>
    <w:basedOn w:val="1"/>
    <w:qFormat/>
    <w:uiPriority w:val="34"/>
    <w:pPr>
      <w:ind w:left="720"/>
      <w:contextualSpacing/>
    </w:pPr>
  </w:style>
  <w:style w:type="character" w:customStyle="1" w:styleId="38">
    <w:name w:val="Intense Emphasis"/>
    <w:basedOn w:val="19"/>
    <w:qFormat/>
    <w:uiPriority w:val="21"/>
    <w:rPr>
      <w:i/>
      <w:iCs/>
      <w:color w:val="104862" w:themeColor="accent1" w:themeShade="BF"/>
    </w:rPr>
  </w:style>
  <w:style w:type="paragraph" w:styleId="39">
    <w:name w:val="Intense Quote"/>
    <w:basedOn w:val="1"/>
    <w:next w:val="1"/>
    <w:link w:val="40"/>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40">
    <w:name w:val="明显引用 字符"/>
    <w:basedOn w:val="19"/>
    <w:link w:val="39"/>
    <w:qFormat/>
    <w:uiPriority w:val="30"/>
    <w:rPr>
      <w:i/>
      <w:iCs/>
      <w:color w:val="104862" w:themeColor="accent1" w:themeShade="BF"/>
    </w:rPr>
  </w:style>
  <w:style w:type="character" w:customStyle="1" w:styleId="41">
    <w:name w:val="Intense Reference"/>
    <w:basedOn w:val="19"/>
    <w:qFormat/>
    <w:uiPriority w:val="32"/>
    <w:rPr>
      <w:b/>
      <w:bCs/>
      <w:smallCaps/>
      <w:color w:val="104862" w:themeColor="accent1" w:themeShade="BF"/>
      <w:spacing w:val="5"/>
    </w:rPr>
  </w:style>
  <w:style w:type="character" w:customStyle="1" w:styleId="42">
    <w:name w:val="页脚 字符"/>
    <w:basedOn w:val="19"/>
    <w:link w:val="1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444444"/>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1500</Words>
  <Characters>1583</Characters>
  <Lines>11</Lines>
  <Paragraphs>3</Paragraphs>
  <TotalTime>53</TotalTime>
  <ScaleCrop>false</ScaleCrop>
  <LinksUpToDate>false</LinksUpToDate>
  <CharactersWithSpaces>1590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2025-04-02T00:57:00Z</dcterms:created>
  <dc:creator>Kaiyun Fang</dc:creator>
  <cp:lastModifiedBy>澄清</cp:lastModifiedBy>
  <dcterms:modified xsi:type="dcterms:W3CDTF">2025-10-31T09:03:25Z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eyJoZGlkIjoiNzQ4MzIyNzAyZjhiOWQ3MDQ3YzQxZmZjODIxNjM5Y2MiLCJ1c2VySWQiOiIxMDIyMzc5NTQ0In0=</vt:lpwstr>
  </property>
  <property fmtid="{D5CDD505-2E9C-101B-9397-08002B2CF9AE}" pid="3" name="KSOProductBuildVer">
    <vt:lpwstr>2052-12.1.0.23125</vt:lpwstr>
  </property>
  <property fmtid="{D5CDD505-2E9C-101B-9397-08002B2CF9AE}" pid="4" name="ICV">
    <vt:lpwstr>6C75B00B4FF642DF8C658D0737EDE2A4_12</vt:lpwstr>
  </property>
</Properties>
</file>