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2B84">
      <w:pPr>
        <w:spacing w:line="460" w:lineRule="exact"/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</w:rPr>
        <w:t>附件1</w:t>
      </w:r>
    </w:p>
    <w:p w14:paraId="17E05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color w:val="auto"/>
          <w:spacing w:val="-20"/>
          <w:sz w:val="36"/>
          <w:highlight w:val="none"/>
        </w:rPr>
      </w:pPr>
      <w:bookmarkStart w:id="0" w:name="_GoBack"/>
      <w:r>
        <w:rPr>
          <w:rFonts w:hint="eastAsia"/>
          <w:b/>
          <w:bCs/>
          <w:color w:val="auto"/>
          <w:spacing w:val="-20"/>
          <w:sz w:val="36"/>
          <w:highlight w:val="none"/>
        </w:rPr>
        <w:t>浙江省嵊州市卫生健康局下属事业单位赴</w:t>
      </w:r>
      <w:r>
        <w:rPr>
          <w:rFonts w:hint="eastAsia"/>
          <w:b/>
          <w:bCs/>
          <w:color w:val="auto"/>
          <w:spacing w:val="-20"/>
          <w:sz w:val="36"/>
          <w:highlight w:val="none"/>
          <w:lang w:eastAsia="zh-CN"/>
        </w:rPr>
        <w:t>温州医科大学</w:t>
      </w:r>
      <w:r>
        <w:rPr>
          <w:rFonts w:hint="eastAsia"/>
          <w:b/>
          <w:bCs/>
          <w:color w:val="auto"/>
          <w:spacing w:val="-20"/>
          <w:sz w:val="36"/>
          <w:highlight w:val="none"/>
        </w:rPr>
        <w:t>公开招聘紧缺专业卫技人员岗位表</w:t>
      </w:r>
    </w:p>
    <w:bookmarkEnd w:id="0"/>
    <w:tbl>
      <w:tblPr>
        <w:tblStyle w:val="2"/>
        <w:tblpPr w:leftFromText="180" w:rightFromText="180" w:vertAnchor="text" w:horzAnchor="page" w:tblpX="1200" w:tblpY="167"/>
        <w:tblOverlap w:val="never"/>
        <w:tblW w:w="5284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50"/>
        <w:gridCol w:w="780"/>
        <w:gridCol w:w="1241"/>
        <w:gridCol w:w="705"/>
        <w:gridCol w:w="1770"/>
        <w:gridCol w:w="1398"/>
        <w:gridCol w:w="1485"/>
      </w:tblGrid>
      <w:tr w14:paraId="76DB21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tblHeader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57C3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岗位序号</w:t>
            </w:r>
          </w:p>
        </w:tc>
        <w:tc>
          <w:tcPr>
            <w:tcW w:w="704" w:type="pct"/>
            <w:tcBorders>
              <w:tl2br w:val="nil"/>
              <w:tr2bl w:val="nil"/>
            </w:tcBorders>
            <w:noWrap w:val="0"/>
            <w:vAlign w:val="center"/>
          </w:tcPr>
          <w:p w14:paraId="224C7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招聘单位</w:t>
            </w:r>
          </w:p>
        </w:tc>
        <w:tc>
          <w:tcPr>
            <w:tcW w:w="407" w:type="pct"/>
            <w:tcBorders>
              <w:tl2br w:val="nil"/>
              <w:tr2bl w:val="nil"/>
            </w:tcBorders>
            <w:noWrap w:val="0"/>
            <w:vAlign w:val="center"/>
          </w:tcPr>
          <w:p w14:paraId="6F0A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经费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形式</w:t>
            </w: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5A177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6554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5102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专 业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52DF0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0A1F7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要求</w:t>
            </w:r>
          </w:p>
        </w:tc>
      </w:tr>
      <w:tr w14:paraId="21CD82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45845BB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0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7EB9D4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嵊州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市人民医院（浙大一院嵊州分院）医共体总院</w:t>
            </w:r>
          </w:p>
        </w:tc>
        <w:tc>
          <w:tcPr>
            <w:tcW w:w="40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940EA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差额</w:t>
            </w:r>
          </w:p>
          <w:p w14:paraId="140A486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拨款</w:t>
            </w:r>
          </w:p>
          <w:p w14:paraId="17AEB50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01F4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1629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3528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临床医学类、口腔医学类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70F8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3F7B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0EFE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0E2F50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73D645D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3F9F0A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20E0B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4B9A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心血管内科一组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0F90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56F8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182A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5E28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4AE6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0B0CF2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148F4BC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A80D89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FC058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5A72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呼吸内科一组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4996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62E9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4756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2F2F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6258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07B0D1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76C9753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FAF26E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8AB3E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7FB8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消化内科一组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4F81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7C8F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4DCE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4025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39D0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3396EC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42AAD04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BF71C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C68A3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40E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143C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5A44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神经病学、内科学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5B9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4E2A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0A58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4A01C0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0983A96D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00E117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8DA0D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2A95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骨科一组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53B8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2D94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外科学、骨科学、运动医学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2138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4F6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64BF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68B1D3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6A543620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0C669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9EAAC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0A67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心血管内科二组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093E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782D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6118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4BEE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2660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4E0908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4299A887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030F21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1A2D5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7CF6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呼吸内科二组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2861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615F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7F50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5FBC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1F31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1387EA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3FFB6808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EDCEE9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ABCE2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4868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消化内科二组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6ED3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6398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0B59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01E0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08D8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4C02AD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 w14:paraId="21783179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1B7DF0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3EE83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7" w:type="pct"/>
            <w:tcBorders>
              <w:tl2br w:val="nil"/>
              <w:tr2bl w:val="nil"/>
            </w:tcBorders>
            <w:noWrap w:val="0"/>
            <w:vAlign w:val="center"/>
          </w:tcPr>
          <w:p w14:paraId="4386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71DF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6A57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1968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2259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775" w:type="pct"/>
            <w:tcBorders>
              <w:tl2br w:val="nil"/>
              <w:tr2bl w:val="nil"/>
            </w:tcBorders>
            <w:noWrap w:val="0"/>
            <w:vAlign w:val="center"/>
          </w:tcPr>
          <w:p w14:paraId="0FFE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</w:tbl>
    <w:p w14:paraId="1E9C3763">
      <w:pPr>
        <w:rPr>
          <w:color w:val="auto"/>
          <w:highlight w:val="none"/>
        </w:rPr>
      </w:pPr>
    </w:p>
    <w:tbl>
      <w:tblPr>
        <w:tblStyle w:val="2"/>
        <w:tblpPr w:leftFromText="180" w:rightFromText="180" w:vertAnchor="text" w:horzAnchor="page" w:tblpX="1200" w:tblpY="1"/>
        <w:tblOverlap w:val="never"/>
        <w:tblW w:w="5284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50"/>
        <w:gridCol w:w="780"/>
        <w:gridCol w:w="1241"/>
        <w:gridCol w:w="705"/>
        <w:gridCol w:w="1770"/>
        <w:gridCol w:w="1398"/>
        <w:gridCol w:w="1485"/>
      </w:tblGrid>
      <w:tr w14:paraId="02CE0E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1E9DF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岗位序号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5EF9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招聘单位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523A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经费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形式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7D4D1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5A9D6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0B2B5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专 业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38BDF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75876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要求</w:t>
            </w:r>
          </w:p>
        </w:tc>
      </w:tr>
      <w:tr w14:paraId="3E0E66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115546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F9D5F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嵊州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市人民医院（浙大一院嵊州分院）医共体总院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9C3F3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差额</w:t>
            </w:r>
          </w:p>
          <w:p w14:paraId="377958D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拨款</w:t>
            </w:r>
          </w:p>
          <w:p w14:paraId="3D3136C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25AA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1944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0482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4D89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2A1E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42D8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7C83EE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77E3CB0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62BB5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7FD2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6CEB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骨科二组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7F1F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274C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外科学、骨科学、运动医学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27EC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4E2F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76DB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260539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78335640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CC3C4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526D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44F1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中医针灸科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6F2F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0266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针灸推拿学；针灸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7260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25E1609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28FA4B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A2560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7353E387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5243A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449C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16A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超声科一组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177B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70A1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7DEC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2ACB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06DF20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F2EB9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25A09CAE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2ECE3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嵊州市妇幼保健院（浙江省人民医院嵊州分院）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B01F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差额拨款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0895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6D7D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26FF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0C71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2E19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2455FC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6CBE0B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5B3C004B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87FA4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50FA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1EB1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8CD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7838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临床医学、康复医学与理疗学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0119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6CF6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19DB90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0868A0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522DD4ED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A5862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720E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7A0A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超声科二组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7C6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5FB3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0EEC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565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3C10A8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6304B5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68DF9BD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E0011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B49A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6DD5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五官科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3B70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306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临床医学、耳鼻咽喉科学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3A8D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1D06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1FF4B0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7B9C43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00698008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507A7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CB16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2154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3DAB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3A43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3F14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6104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510B41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58F30E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6D4036EC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77ED8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84CF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34F8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0037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775B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眼科学、眼视光学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6D81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 w14:paraId="4E82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40F4FF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具有规培证书/证明</w:t>
            </w:r>
          </w:p>
        </w:tc>
      </w:tr>
      <w:tr w14:paraId="5D3A72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7EFC1B1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7383763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嵊州市疾病预防控制中心（嵊州市卫生监督所）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4A5899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全额拨款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01E5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疾病控制科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3EA1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11B1E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预防医学；公共卫生与预防医学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72E4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39CE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58EB94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9E7BE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A24859B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2E612B0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嵊州市妇幼服务中心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41BAA7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全额拨款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46EF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超声科三组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1ED5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5DBC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5593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0538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0CA317C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201082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本次招聘报名专业目录参照2025年浙江省公务员招考专业参考目录；表中的学历（学位）为与专业对应的起点学历（学位），含其以上学历（学位）。</w:t>
      </w: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26DEE51"/>
    <w:rsid w:val="43F35893"/>
    <w:rsid w:val="66933D0B"/>
    <w:rsid w:val="77E7AC81"/>
    <w:rsid w:val="D26DE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912</Characters>
  <Lines>0</Lines>
  <Paragraphs>0</Paragraphs>
  <TotalTime>0</TotalTime>
  <ScaleCrop>false</ScaleCrop>
  <LinksUpToDate>false</LinksUpToDate>
  <CharactersWithSpaces>914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2025-10-29T20:04:00Z</dcterms:created>
  <dc:creator>吴小毅</dc:creator>
  <cp:lastModifiedBy>皮皮婷</cp:lastModifiedBy>
  <dcterms:modified xsi:type="dcterms:W3CDTF">2025-10-29T08:36:07Z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CD3B818718BA40B896F94C20AD608707_13</vt:lpwstr>
  </property>
</Properties>
</file>