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2F5B"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2EF0F505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0ACE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3AEBC7EC"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3913495C"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 w14:paraId="67AE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26515A01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12DD0E33"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551B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42DE1E22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76CF8FF9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0D78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5973D3F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5111E2FE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3267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5C0D8D4D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0DC71122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0EB0C01E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21EA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3810C8AE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38176BC2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6BD8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2616C0A3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407E165C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674D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242EDDBF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7AD0D41C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1421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798AA40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4650DAAB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19AA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4DC9A94A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15A2FB9E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52E4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32A3816A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4EECA6DC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0E779C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70F57-895B-46AE-9FDB-DDC7C36126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2E113D-D97C-454F-BEF1-80F2B35C26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B30DA4-7226-4A0D-A533-EC64A47359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CEFD919-3CE2-484B-9B18-7383D9FE9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2025-10-29T05:48:48Z</dcterms:created>
  <dc:creator>zhang</dc:creator>
  <cp:lastModifiedBy>张天</cp:lastModifiedBy>
  <dcterms:modified xsi:type="dcterms:W3CDTF">2025-10-29T05:49:54Z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eyJoZGlkIjoiNDM4MDU4YmI3MzQ3M2VlYWU0MzhiMDdjZTY2ZmVhZGIiLCJ1c2VySWQiOiIxNDc1MjU1NzU0In0=</vt:lpwstr>
  </property>
  <property fmtid="{D5CDD505-2E9C-101B-9397-08002B2CF9AE}" pid="4" name="ICV">
    <vt:lpwstr>9AC7ACA80CC14FE78713A60DBF567596_12</vt:lpwstr>
  </property>
</Properties>
</file>