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附件2</w:t>
      </w:r>
    </w:p>
    <w:p>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44"/>
          <w:szCs w:val="44"/>
          <w:highlight w:val="none"/>
          <w:lang w:val="en-US" w:eastAsia="zh-CN"/>
        </w:rPr>
        <w:t>各招聘单位</w:t>
      </w:r>
      <w:r>
        <w:rPr>
          <w:rFonts w:hint="eastAsia" w:ascii="方正小标宋简体" w:hAnsi="方正小标宋简体" w:eastAsia="方正小标宋简体" w:cs="方正小标宋简体"/>
          <w:sz w:val="44"/>
          <w:szCs w:val="44"/>
          <w:highlight w:val="none"/>
        </w:rPr>
        <w:t>介绍</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1.台州市城市建设投资发展集团有限公司</w:t>
      </w:r>
      <w:r>
        <w:rPr>
          <w:rFonts w:hint="eastAsia" w:ascii="仿宋_GB2312" w:hAnsi="仿宋_GB2312" w:eastAsia="仿宋_GB2312" w:cs="仿宋_GB2312"/>
          <w:b w:val="0"/>
          <w:bCs w:val="0"/>
          <w:color w:val="auto"/>
          <w:sz w:val="32"/>
          <w:szCs w:val="32"/>
          <w:highlight w:val="none"/>
          <w:shd w:val="clear" w:color="auto" w:fill="auto"/>
          <w:lang w:val="en-US" w:eastAsia="zh-CN"/>
        </w:rPr>
        <w:t>于2019年3月20日正式挂牌，是台州市政府直属资产规模最大的市属国有企业，功能定位为城市更新改造、区块开发建设、地下空间综合利用等城市开发建设领域的投资建设运营综合性集团。集团总资产超500亿元，拥有国内AAA、国际BBB主体信用等级，下属全资及控股子公司57家，现有员工1000余人，其中博士研究生2人、硕士研究生68人、正高级职称2人，副高级职称114人，实现从单一承担政府基建任务的平台公司向深度参与城市建设与产业运营的实体化、市场化国企转型。目前，集团明确了“一体两翼”发展路径，即以城市开发运营与现代服务为业务主体，以智慧科技和产融投资为拓展之两翼，致力于成为全市域、全产业链、全生命周期的城市开发建设和公共运维服务的综合供应商。</w:t>
      </w:r>
    </w:p>
    <w:p>
      <w:pPr>
        <w:numPr>
          <w:ilvl w:val="0"/>
          <w:numId w:val="0"/>
        </w:numPr>
        <w:jc w:val="center"/>
        <w:rPr>
          <w:rFonts w:hint="eastAsia" w:ascii="仿宋_GB2312" w:hAnsi="仿宋_GB2312" w:eastAsia="仿宋_GB2312" w:cs="仿宋_GB2312"/>
          <w:i w:val="0"/>
          <w:caps w:val="0"/>
          <w:color w:val="auto"/>
          <w:spacing w:val="0"/>
          <w:sz w:val="32"/>
          <w:szCs w:val="32"/>
          <w:highlight w:val="none"/>
          <w:shd w:val="clear" w:color="auto" w:fill="auto"/>
        </w:rPr>
      </w:pPr>
      <w:r>
        <w:rPr>
          <w:rFonts w:ascii="宋体" w:hAnsi="宋体" w:eastAsia="宋体" w:cs="宋体"/>
          <w:sz w:val="24"/>
          <w:szCs w:val="24"/>
        </w:rPr>
        <w:drawing>
          <wp:inline distT="0" distB="0" distL="114300" distR="114300">
            <wp:extent cx="1854835" cy="1854835"/>
            <wp:effectExtent l="0" t="0" r="12065" b="1206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854835" cy="1854835"/>
                    </a:xfrm>
                    <a:prstGeom prst="rect">
                      <a:avLst/>
                    </a:prstGeom>
                    <a:noFill/>
                    <a:ln w="9525">
                      <a:noFill/>
                    </a:ln>
                  </pic:spPr>
                </pic:pic>
              </a:graphicData>
            </a:graphic>
          </wp:inline>
        </w:drawing>
      </w:r>
    </w:p>
    <w:p>
      <w:pPr>
        <w:jc w:val="center"/>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21"/>
          <w:szCs w:val="21"/>
          <w:highlight w:val="none"/>
          <w:shd w:val="clear" w:color="auto" w:fill="auto"/>
          <w:lang w:val="en-US" w:eastAsia="zh-CN"/>
        </w:rPr>
        <w:t>市城投集团微信公众号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台州市建设市政工程检测中心有限公司是</w:t>
      </w:r>
      <w:r>
        <w:rPr>
          <w:rFonts w:hint="eastAsia" w:ascii="仿宋_GB2312" w:hAnsi="仿宋_GB2312" w:eastAsia="仿宋_GB2312" w:cs="仿宋_GB2312"/>
          <w:b w:val="0"/>
          <w:bCs w:val="0"/>
          <w:color w:val="auto"/>
          <w:sz w:val="32"/>
          <w:szCs w:val="32"/>
          <w:highlight w:val="none"/>
          <w:shd w:val="clear" w:color="auto" w:fill="auto"/>
          <w:lang w:val="en-US" w:eastAsia="zh-CN"/>
        </w:rPr>
        <w:t>台州城投集团下属子公司，成立于2010年3月，是一家以市政工程、水利工程相关检测为主的中介机构，具有各类工程检测相关设备400余套，涵盖建筑材料性能检测、道路工程现场检测、桥梁工程实体检测、钢结构实体检测、主体结构实体检测、地基基础现场检测、水利工程现场实体检测等相关领域，通过ISO9001质量管理体系认证。公司现有员工60人，本科及以上学历占公司总人数的83.3%，其中博士1名、硕士2名；专业技术职称人员占公司总人数的89.4%，其中正高级职称1名、副高级职称6名。公司先后获评国家级科技型中小企业、国家级高新技术企业、浙江省级科技型中小企业、浙江省创新型中小企业、浙江省专精特新中小企业、台州市省级科技型中小企业、台州市高新技术企业研发中心等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2.台州市交通投资集团有限公司</w:t>
      </w:r>
      <w:r>
        <w:rPr>
          <w:rFonts w:hint="eastAsia" w:ascii="仿宋_GB2312" w:hAnsi="仿宋_GB2312" w:eastAsia="仿宋_GB2312" w:cs="仿宋_GB2312"/>
          <w:color w:val="auto"/>
          <w:sz w:val="32"/>
          <w:szCs w:val="32"/>
          <w:highlight w:val="none"/>
          <w:shd w:val="clear" w:color="auto" w:fill="auto"/>
          <w:lang w:val="en-US" w:eastAsia="zh-CN"/>
        </w:rPr>
        <w:t>于2016年5月成立。2019年3月，新组建的台州交投集团整合原台州市轨道集团、台州市机场公司、台州市铁投公司作为集团全资子公司，同时整合台州高速，并受市政府委托管理沿海高速公司，海门港埠总公司整体划转台州交投集团。新组建的台州交投集团是台州市综合交通基础设施的投资、建设、运营及相关产业投资开发的综合性集团公司。集团合并后，资产总额166.41亿元，公司注册资本为10亿元。交投集团下属子公司29家，其中经营性子公司17家，业务布局覆盖“投资建设物资-施工-监理-检测-运营-养护”交通全产业链及“海运-客货-房产置业”等关联产业链。</w:t>
      </w:r>
    </w:p>
    <w:p>
      <w:pPr>
        <w:numPr>
          <w:ilvl w:val="0"/>
          <w:numId w:val="0"/>
        </w:numPr>
        <w:jc w:val="center"/>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i w:val="0"/>
          <w:caps w:val="0"/>
          <w:color w:val="auto"/>
          <w:spacing w:val="0"/>
          <w:sz w:val="32"/>
          <w:szCs w:val="32"/>
          <w:highlight w:val="none"/>
          <w:shd w:val="clear" w:color="auto" w:fill="auto"/>
        </w:rPr>
        <w:drawing>
          <wp:inline distT="0" distB="0" distL="114300" distR="114300">
            <wp:extent cx="1854200" cy="1854200"/>
            <wp:effectExtent l="0" t="0" r="5080" b="508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1854200" cy="1854200"/>
                    </a:xfrm>
                    <a:prstGeom prst="rect">
                      <a:avLst/>
                    </a:prstGeom>
                  </pic:spPr>
                </pic:pic>
              </a:graphicData>
            </a:graphic>
          </wp:inline>
        </w:drawing>
      </w:r>
    </w:p>
    <w:p>
      <w:pPr>
        <w:jc w:val="center"/>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21"/>
          <w:szCs w:val="21"/>
          <w:highlight w:val="none"/>
          <w:shd w:val="clear" w:color="auto" w:fill="auto"/>
          <w:lang w:val="en-US" w:eastAsia="zh-CN"/>
        </w:rPr>
        <w:t>市交投集团微信公众号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b/>
          <w:bCs/>
          <w:i w:val="0"/>
          <w:caps w:val="0"/>
          <w:color w:val="auto"/>
          <w:spacing w:val="0"/>
          <w:sz w:val="32"/>
          <w:szCs w:val="32"/>
          <w:highlight w:val="none"/>
          <w:shd w:val="clear" w:color="auto" w:fill="auto"/>
        </w:rPr>
        <w:t>台州市轨道交通建设开发有限公司</w:t>
      </w:r>
      <w:r>
        <w:rPr>
          <w:rFonts w:hint="eastAsia" w:ascii="仿宋_GB2312" w:hAnsi="仿宋_GB2312" w:eastAsia="仿宋_GB2312" w:cs="仿宋_GB2312"/>
          <w:i w:val="0"/>
          <w:caps w:val="0"/>
          <w:color w:val="auto"/>
          <w:spacing w:val="0"/>
          <w:sz w:val="32"/>
          <w:szCs w:val="32"/>
          <w:highlight w:val="none"/>
          <w:shd w:val="clear" w:color="auto" w:fill="auto"/>
        </w:rPr>
        <w:t>成立于2015年1月，主要承担市域铁路项目前期、建设、投融资、运营管理及沿线资源开发等职责，现为台州市域铁路S1线的监管单位及台州市域铁路S2线的建设单位，公司下设综合管理部、总工办、工程管理部、机电设备部（运营管理部）、计量成本部、安全管理部等部门</w:t>
      </w:r>
      <w:r>
        <w:rPr>
          <w:rFonts w:hint="eastAsia" w:ascii="仿宋_GB2312" w:hAnsi="仿宋_GB2312" w:eastAsia="仿宋_GB2312" w:cs="仿宋_GB2312"/>
          <w:i w:val="0"/>
          <w:caps w:val="0"/>
          <w:color w:val="auto"/>
          <w:spacing w:val="0"/>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3.</w:t>
      </w:r>
      <w:r>
        <w:rPr>
          <w:rFonts w:hint="eastAsia" w:ascii="仿宋_GB2312" w:hAnsi="仿宋_GB2312" w:eastAsia="仿宋_GB2312" w:cs="仿宋_GB2312"/>
          <w:b/>
          <w:bCs/>
          <w:i w:val="0"/>
          <w:caps w:val="0"/>
          <w:color w:val="auto"/>
          <w:spacing w:val="0"/>
          <w:sz w:val="32"/>
          <w:szCs w:val="32"/>
          <w:highlight w:val="none"/>
          <w:shd w:val="clear" w:color="auto" w:fill="auto"/>
        </w:rPr>
        <w:t>台州市水务集团股份有限公司</w:t>
      </w:r>
      <w:r>
        <w:rPr>
          <w:rFonts w:hint="eastAsia" w:ascii="仿宋_GB2312" w:hAnsi="仿宋_GB2312" w:eastAsia="仿宋_GB2312" w:cs="仿宋_GB2312"/>
          <w:i w:val="0"/>
          <w:caps w:val="0"/>
          <w:color w:val="auto"/>
          <w:spacing w:val="0"/>
          <w:sz w:val="32"/>
          <w:szCs w:val="32"/>
          <w:highlight w:val="none"/>
          <w:shd w:val="clear" w:color="auto" w:fill="auto"/>
        </w:rPr>
        <w:t>是台州市属国有控股上市公司，也是台州市首家港股上市的市属国企。截至2024年底，集团共拥有全资和控股子公司11家，参股、管理企业5家，已经形成六大涉水业务板块，包括原水、供水、管道直饮水、包装饮用水、绿色环保以及水务基础设施投资建设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i w:val="0"/>
          <w:caps w:val="0"/>
          <w:color w:val="auto"/>
          <w:spacing w:val="0"/>
          <w:sz w:val="32"/>
          <w:szCs w:val="32"/>
          <w:highlight w:val="none"/>
          <w:shd w:val="clear" w:color="auto" w:fill="auto"/>
        </w:rPr>
        <w:t>截至2024年底，集团原水引水能力达177万吨/日，净水供水能力141万吨/日，供水业务覆盖台州南片的椒江、黄岩、路桥、台州湾新区以及温岭市、玉环市。2024年全年销售原水达3.15亿吨。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i w:val="0"/>
          <w:caps w:val="0"/>
          <w:color w:val="auto"/>
          <w:spacing w:val="0"/>
          <w:sz w:val="32"/>
          <w:szCs w:val="32"/>
          <w:highlight w:val="none"/>
          <w:shd w:val="clear" w:color="auto" w:fill="auto"/>
        </w:rPr>
        <w:t>近年来，集团围绕打造“区域一流的综合型水务集团”发展目标，持续做强主业、做实辅业、培育新业，全力整合产业资源做强水务产业链，积极推进产业升级、数字赋能、产融互动，先后建设了台州市引水工程、南部湾区引水工程、台州水厂二期扩容工程等一批重大城市基础设施项目，实施了净水厂工艺改造、老旧小区二供设施改造等民生工程，群众用水的满意度、获得感、幸福感持续提升，有力支撑了地方经济社会发展。</w:t>
      </w:r>
    </w:p>
    <w:p>
      <w:pPr>
        <w:keepNext w:val="0"/>
        <w:keepLines w:val="0"/>
        <w:pageBreakBefore w:val="0"/>
        <w:widowControl w:val="0"/>
        <w:kinsoku/>
        <w:wordWrap/>
        <w:overflowPunct/>
        <w:topLinePunct w:val="0"/>
        <w:autoSpaceDE/>
        <w:autoSpaceDN/>
        <w:bidi w:val="0"/>
        <w:adjustRightInd/>
        <w:snapToGrid/>
        <w:spacing w:line="560" w:lineRule="exact"/>
        <w:ind w:firstLine="340" w:firstLineChars="200"/>
        <w:jc w:val="center"/>
        <w:textAlignment w:val="auto"/>
        <w:rPr>
          <w:rFonts w:hint="eastAsia" w:ascii="仿宋_GB2312" w:hAnsi="仿宋_GB2312" w:eastAsia="仿宋_GB2312" w:cs="仿宋_GB2312"/>
          <w:b/>
          <w:bCs/>
          <w:i w:val="0"/>
          <w:caps w:val="0"/>
          <w:color w:val="auto"/>
          <w:spacing w:val="0"/>
          <w:sz w:val="21"/>
          <w:szCs w:val="21"/>
          <w:highlight w:val="none"/>
          <w:shd w:val="clear" w:color="auto" w:fill="auto"/>
          <w:lang w:val="en-US" w:eastAsia="zh-CN"/>
        </w:rPr>
      </w:pPr>
      <w:r>
        <w:rPr>
          <w:spacing w:val="-20"/>
        </w:rPr>
        <w:drawing>
          <wp:anchor distT="0" distB="0" distL="114300" distR="114300" simplePos="0" relativeHeight="251659264" behindDoc="0" locked="0" layoutInCell="1" allowOverlap="1">
            <wp:simplePos x="0" y="0"/>
            <wp:positionH relativeFrom="column">
              <wp:posOffset>1813560</wp:posOffset>
            </wp:positionH>
            <wp:positionV relativeFrom="paragraph">
              <wp:posOffset>178435</wp:posOffset>
            </wp:positionV>
            <wp:extent cx="1854200" cy="1854200"/>
            <wp:effectExtent l="0" t="0" r="5080" b="5080"/>
            <wp:wrapTopAndBottom/>
            <wp:docPr id="8" name="图片 8" descr="1715052248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15052248058"/>
                    <pic:cNvPicPr>
                      <a:picLocks noChangeAspect="1"/>
                    </pic:cNvPicPr>
                  </pic:nvPicPr>
                  <pic:blipFill>
                    <a:blip r:embed="rId6"/>
                    <a:stretch>
                      <a:fillRect/>
                    </a:stretch>
                  </pic:blipFill>
                  <pic:spPr>
                    <a:xfrm>
                      <a:off x="0" y="0"/>
                      <a:ext cx="1854200" cy="1854200"/>
                    </a:xfrm>
                    <a:prstGeom prst="rect">
                      <a:avLst/>
                    </a:prstGeom>
                  </pic:spPr>
                </pic:pic>
              </a:graphicData>
            </a:graphic>
          </wp:anchor>
        </w:drawing>
      </w:r>
      <w:r>
        <w:rPr>
          <w:rFonts w:hint="eastAsia" w:ascii="仿宋_GB2312" w:hAnsi="仿宋_GB2312" w:eastAsia="仿宋_GB2312" w:cs="仿宋_GB2312"/>
          <w:b/>
          <w:bCs/>
          <w:i w:val="0"/>
          <w:caps w:val="0"/>
          <w:color w:val="auto"/>
          <w:spacing w:val="0"/>
          <w:sz w:val="21"/>
          <w:szCs w:val="21"/>
          <w:highlight w:val="none"/>
          <w:shd w:val="clear" w:color="auto" w:fill="auto"/>
          <w:lang w:val="en-US" w:eastAsia="zh-CN"/>
        </w:rPr>
        <w:t>市水务集团微信公众号</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hint="eastAsia" w:ascii="仿宋_GB2312" w:hAnsi="仿宋_GB2312" w:eastAsia="仿宋_GB2312" w:cs="仿宋_GB2312"/>
          <w:b/>
          <w:bCs/>
          <w:i w:val="0"/>
          <w:caps w:val="0"/>
          <w:color w:val="auto"/>
          <w:spacing w:val="0"/>
          <w:sz w:val="21"/>
          <w:szCs w:val="21"/>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台州市科创投资集团有限公司</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成立于2024年1月，由原台州金投集团和台州人才集团合并新设，是市国资委一级监管企业，注册资本60亿元，资产总额超200亿元。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集团锚定台州创新强市、人才强市发展战略，重点服务重大产业、战略性新兴产业发展，以科创基金管理、科创</w:t>
      </w:r>
      <w:r>
        <w:rPr>
          <w:rFonts w:hint="default" w:ascii="仿宋_GB2312" w:hAnsi="仿宋_GB2312" w:eastAsia="仿宋_GB2312" w:cs="仿宋_GB2312"/>
          <w:i w:val="0"/>
          <w:caps w:val="0"/>
          <w:color w:val="auto"/>
          <w:spacing w:val="0"/>
          <w:sz w:val="32"/>
          <w:szCs w:val="32"/>
          <w:highlight w:val="none"/>
          <w:shd w:val="clear" w:color="auto" w:fill="auto"/>
          <w:lang w:eastAsia="zh-CN"/>
        </w:rPr>
        <w:t>（产业）</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投资、科创园区运营、人才服务、金融服务为主业，坚持服务台州实体经济发展主线，不断增强核心功能</w:t>
      </w:r>
      <w:r>
        <w:rPr>
          <w:rFonts w:hint="default"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提高核心竞争力，积极构建科创产业集群、科创金融集群、科创人才集群，着力推动创新链、产业链、资金链、人才链融合，全力打造台州市科技创业创新主引擎，争创国内一流的科创投资企业</w:t>
      </w:r>
      <w:r>
        <w:rPr>
          <w:rFonts w:hint="eastAsia" w:ascii="仿宋_GB2312" w:hAnsi="仿宋_GB2312" w:eastAsia="仿宋_GB2312" w:cs="仿宋_GB2312"/>
          <w:i w:val="0"/>
          <w:caps w:val="0"/>
          <w:color w:val="auto"/>
          <w:spacing w:val="0"/>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eastAsia="zh-CN"/>
        </w:rPr>
        <w:t>科创基金（产业基金）管理。</w:t>
      </w:r>
      <w:r>
        <w:rPr>
          <w:rFonts w:hint="eastAsia" w:ascii="仿宋_GB2312" w:hAnsi="仿宋_GB2312" w:eastAsia="仿宋_GB2312" w:cs="仿宋_GB2312"/>
          <w:color w:val="auto"/>
          <w:sz w:val="32"/>
          <w:szCs w:val="32"/>
          <w:highlight w:val="none"/>
          <w:lang w:val="en-US" w:eastAsia="zh-CN"/>
        </w:rPr>
        <w:t>统筹整合现有政府产业基金，市县联动设立科创母基金，充分发挥财政资金的杠杆放大作用，引导、撬动各类资本投入高科技产业、战略性新兴产业、未来产业等。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科创（产业）投资。</w:t>
      </w:r>
      <w:r>
        <w:rPr>
          <w:rFonts w:hint="default" w:ascii="仿宋_GB2312" w:hAnsi="仿宋_GB2312" w:eastAsia="仿宋_GB2312" w:cs="仿宋_GB2312"/>
          <w:color w:val="auto"/>
          <w:kern w:val="2"/>
          <w:sz w:val="32"/>
          <w:szCs w:val="32"/>
          <w:highlight w:val="none"/>
          <w:lang w:val="en-US" w:eastAsia="zh-CN" w:bidi="ar-SA"/>
        </w:rPr>
        <w:t>着眼于政府战略导向，围绕重大产业布局，重点聚焦优质产业链龙头企业、关键环节企业、科创企业和上市公司，通过产业基金、市场化基金、直投等多种方式，招引、培育优质企业，推进科技成果转化，助力科创产业孵化培育和实体经济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科创园区运营。</w:t>
      </w:r>
      <w:r>
        <w:rPr>
          <w:rFonts w:hint="default" w:ascii="仿宋_GB2312" w:hAnsi="仿宋_GB2312" w:eastAsia="仿宋_GB2312" w:cs="仿宋_GB2312"/>
          <w:color w:val="auto"/>
          <w:kern w:val="2"/>
          <w:sz w:val="32"/>
          <w:szCs w:val="32"/>
          <w:highlight w:val="none"/>
          <w:lang w:val="en-US" w:eastAsia="zh-CN" w:bidi="ar-SA"/>
        </w:rPr>
        <w:t>建设高品质科创园区，搭建产业发展平台。发挥科创园区科技成果孵化地、产业承接地功能，建立科创基金与产业园区联动模式，引导科创企业入驻园区，并提供高品质园区服务。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i w:val="0"/>
          <w:iCs w:val="0"/>
          <w:caps w:val="0"/>
          <w:color w:val="auto"/>
          <w:spacing w:val="0"/>
          <w:kern w:val="2"/>
          <w:sz w:val="32"/>
          <w:szCs w:val="32"/>
          <w:highlight w:val="none"/>
          <w:lang w:val="en-US" w:eastAsia="zh-CN" w:bidi="ar-SA"/>
        </w:rPr>
      </w:pPr>
      <w:r>
        <w:rPr>
          <w:rFonts w:hint="default" w:ascii="仿宋_GB2312" w:hAnsi="仿宋_GB2312" w:eastAsia="仿宋_GB2312" w:cs="仿宋_GB2312"/>
          <w:b/>
          <w:bCs/>
          <w:sz w:val="32"/>
          <w:szCs w:val="32"/>
          <w:lang w:val="en-US" w:eastAsia="zh-CN"/>
        </w:rPr>
        <w:t>人才服务</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搭建贯穿“人才服务、人才引进、人才开发”全链条一站式人才服务平台，打造涵盖人力资源管理、人才公寓运营、高端人才服务、人才教育培训、政策咨询等在内的专业化多元化人才创新服务体系。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kern w:val="2"/>
          <w:sz w:val="32"/>
          <w:szCs w:val="32"/>
          <w:highlight w:val="none"/>
          <w:lang w:val="en-US" w:eastAsia="zh-CN" w:bidi="ar-SA"/>
        </w:rPr>
      </w:pPr>
      <w:r>
        <w:rPr>
          <w:rFonts w:hint="default" w:ascii="仿宋_GB2312" w:hAnsi="仿宋_GB2312" w:eastAsia="仿宋_GB2312" w:cs="仿宋_GB2312"/>
          <w:b/>
          <w:bCs/>
          <w:sz w:val="32"/>
          <w:szCs w:val="32"/>
          <w:lang w:val="en-US" w:eastAsia="zh-CN"/>
        </w:rPr>
        <w:t>金融服务</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构建融资租赁、融资担保、资产管理、保理</w:t>
      </w:r>
      <w:r>
        <w:rPr>
          <w:rFonts w:hint="eastAsia" w:ascii="Times New Roman" w:hAnsi="Times New Roman" w:eastAsia="仿宋_GB2312" w:cs="Times New Roman"/>
          <w:i w:val="0"/>
          <w:iCs w:val="0"/>
          <w:caps w:val="0"/>
          <w:color w:val="auto"/>
          <w:spacing w:val="0"/>
          <w:kern w:val="2"/>
          <w:sz w:val="32"/>
          <w:szCs w:val="32"/>
          <w:highlight w:val="none"/>
          <w:lang w:val="en-US" w:eastAsia="zh-CN" w:bidi="ar-SA"/>
        </w:rPr>
        <w:t>、产权交易</w:t>
      </w: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等多元化金融服务体系。推进科技与金融紧密结合，搭建科技金融资源平台，引导金融资源全方位支持科技企业发展。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sz w:val="32"/>
          <w:szCs w:val="32"/>
          <w:highlight w:val="none"/>
          <w:shd w:val="clear" w:color="auto" w:fill="auto"/>
          <w:lang w:eastAsia="zh-CN"/>
        </w:rPr>
        <w:drawing>
          <wp:anchor distT="0" distB="0" distL="114300" distR="114300" simplePos="0" relativeHeight="251660288" behindDoc="0" locked="0" layoutInCell="1" allowOverlap="1">
            <wp:simplePos x="0" y="0"/>
            <wp:positionH relativeFrom="column">
              <wp:posOffset>1804035</wp:posOffset>
            </wp:positionH>
            <wp:positionV relativeFrom="paragraph">
              <wp:posOffset>84455</wp:posOffset>
            </wp:positionV>
            <wp:extent cx="1827530" cy="1854200"/>
            <wp:effectExtent l="0" t="0" r="1270" b="5080"/>
            <wp:wrapTopAndBottom/>
            <wp:docPr id="11" name="图片 11" descr="f26ea93b25ce134f08c6c2c7e1829e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26ea93b25ce134f08c6c2c7e1829e4b"/>
                    <pic:cNvPicPr>
                      <a:picLocks noChangeAspect="1"/>
                    </pic:cNvPicPr>
                  </pic:nvPicPr>
                  <pic:blipFill>
                    <a:blip r:embed="rId7"/>
                    <a:stretch>
                      <a:fillRect/>
                    </a:stretch>
                  </pic:blipFill>
                  <pic:spPr>
                    <a:xfrm>
                      <a:off x="0" y="0"/>
                      <a:ext cx="1827530" cy="1854200"/>
                    </a:xfrm>
                    <a:prstGeom prst="rect">
                      <a:avLst/>
                    </a:prstGeom>
                  </pic:spPr>
                </pic:pic>
              </a:graphicData>
            </a:graphic>
          </wp:anchor>
        </w:drawing>
      </w:r>
      <w:r>
        <w:rPr>
          <w:rFonts w:hint="eastAsia" w:ascii="仿宋_GB2312" w:hAnsi="仿宋_GB2312" w:eastAsia="仿宋_GB2312" w:cs="仿宋_GB2312"/>
          <w:b/>
          <w:bCs/>
          <w:i w:val="0"/>
          <w:caps w:val="0"/>
          <w:color w:val="auto"/>
          <w:spacing w:val="0"/>
          <w:sz w:val="21"/>
          <w:szCs w:val="21"/>
          <w:highlight w:val="none"/>
          <w:shd w:val="clear" w:color="auto" w:fill="auto"/>
          <w:lang w:val="en-US" w:eastAsia="zh-CN"/>
        </w:rPr>
        <w:t>市科创集团微信公众号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台州市金控基金管理有限公司</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成立于2015年10月，注册资金1亿元，系科创集团下属全资子公司。公司拥有私募基金管理人牌照，负责管理台州市本级政府产业基金，锚定“三大牵引性抓手”战略部署，以产业平台提能升级为主攻方向，充分发挥政府产业基金政策引导与资源聚合效能，致力于通过做大做优基金，不断完善未来产业投资布局。公司下设临港母基金、优化母基金、科创母基金三大母基金。公司旗下管理子基金近30支，覆盖母基金、定向子基金、非定向子基金及直投项目，管理总规模超300亿元，投资了宁德时代、小米科技等项目200多个。</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br w:type="textWrapping"/>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    </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台州市台创生态园开发有限公司</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是台州市科创投资集团有限公司旗下控股子公司。公司成立于2024年12月5日，注册资金为2亿元人民币。公司旨在建设高品质科创园区，搭建产业发展平台，通过资源整合、服务创新和生态构建，推动科技企业发展、促进产学研融合、加速科技成果转化。截至目前，公司已开始建设台州湾新区124亩地，打造台州湾科创生态园，该项目位于开发大道以北、聚海大道以西，占地124亩，用地性质为M0，计划总投资10亿元，总建筑面积23万方。以光电、人工智能、新材料、智能制造为主要产业方向，布局多产业概念验证中心，配备专业的实验室和工程师团队，服务台州市六大未来产业的技术可行性验证；搭建多场景产品中试基地，配置柔性生产线、共享车间和数字孪生平台，为入驻企业提供从虚拟仿真到中试服务再到商品化的产业链服务；与中科院、浙大体系院所共建联合研发中心，转化高价值技术成果投入产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6.</w:t>
      </w:r>
      <w:r>
        <w:rPr>
          <w:rFonts w:hint="eastAsia" w:ascii="仿宋_GB2312" w:hAnsi="仿宋_GB2312" w:eastAsia="仿宋_GB2312" w:cs="仿宋_GB2312"/>
          <w:b/>
          <w:bCs/>
          <w:i w:val="0"/>
          <w:caps w:val="0"/>
          <w:color w:val="auto"/>
          <w:spacing w:val="0"/>
          <w:sz w:val="32"/>
          <w:szCs w:val="32"/>
          <w:highlight w:val="none"/>
          <w:shd w:val="clear" w:color="auto" w:fill="auto"/>
          <w:lang w:eastAsia="zh-CN"/>
        </w:rPr>
        <w:t>台州市国有资本运营集团有限公司</w:t>
      </w:r>
      <w:r>
        <w:rPr>
          <w:rFonts w:hint="eastAsia" w:ascii="仿宋_GB2312" w:hAnsi="仿宋_GB2312" w:eastAsia="仿宋_GB2312" w:cs="仿宋_GB2312"/>
          <w:i w:val="0"/>
          <w:caps w:val="0"/>
          <w:color w:val="auto"/>
          <w:spacing w:val="0"/>
          <w:sz w:val="32"/>
          <w:szCs w:val="32"/>
          <w:highlight w:val="none"/>
          <w:shd w:val="clear" w:color="auto" w:fill="auto"/>
          <w:lang w:eastAsia="zh-CN"/>
        </w:rPr>
        <w:t>（以下简称“台州资本集团”）成立于2016年，</w:t>
      </w:r>
      <w:bookmarkStart w:id="0" w:name="OLE_LINK1"/>
      <w:r>
        <w:rPr>
          <w:rFonts w:hint="eastAsia" w:ascii="仿宋_GB2312" w:hAnsi="仿宋_GB2312" w:eastAsia="仿宋_GB2312" w:cs="仿宋_GB2312"/>
          <w:i w:val="0"/>
          <w:caps w:val="0"/>
          <w:color w:val="auto"/>
          <w:spacing w:val="0"/>
          <w:sz w:val="32"/>
          <w:szCs w:val="32"/>
          <w:highlight w:val="none"/>
          <w:shd w:val="clear" w:color="auto" w:fill="auto"/>
          <w:lang w:eastAsia="zh-CN"/>
        </w:rPr>
        <w:t>是经台州市人民政府批准，由台州市人民政府国有资产监督管理委员会及浙江省财务开发有限责任公司(省社保基金)出资设立的国有全资公司。主体信用评级AAA，注册资本30亿元。台州资本集团为台州市属企业唯一一家国有资本运营试点单位，是多家市属国企集团的出资主体，承担着股权管理、资本运作、资源整合等重要职能。近年来，台州资本集团致力于做强做优做大“资本运营、能源保障、咨询设计、商贸服务”四大重点板块，全力打造“资本运营链”、打响“台州资本”品牌，助推“三大牵引性抓手”和“556”产业体系落地见效，为全力谱写中国式现代化台州实践新篇章贡献国企力量。</w:t>
      </w:r>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i w:val="0"/>
          <w:caps w:val="0"/>
          <w:color w:val="auto"/>
          <w:spacing w:val="0"/>
          <w:sz w:val="32"/>
          <w:szCs w:val="32"/>
          <w:highlight w:val="none"/>
          <w:shd w:val="clear" w:color="auto" w:fill="auto"/>
          <w:lang w:eastAsia="zh-CN"/>
        </w:rPr>
        <w:drawing>
          <wp:inline distT="0" distB="0" distL="114300" distR="114300">
            <wp:extent cx="1921510" cy="1854200"/>
            <wp:effectExtent l="0" t="0" r="13970" b="5080"/>
            <wp:docPr id="7" name="图片 7" descr="微信图片_20251027114739_57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1027114739_57_120"/>
                    <pic:cNvPicPr>
                      <a:picLocks noChangeAspect="1"/>
                    </pic:cNvPicPr>
                  </pic:nvPicPr>
                  <pic:blipFill>
                    <a:blip r:embed="rId8"/>
                    <a:stretch>
                      <a:fillRect/>
                    </a:stretch>
                  </pic:blipFill>
                  <pic:spPr>
                    <a:xfrm>
                      <a:off x="0" y="0"/>
                      <a:ext cx="1921510" cy="1854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center"/>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b/>
          <w:bCs/>
          <w:i w:val="0"/>
          <w:caps w:val="0"/>
          <w:color w:val="auto"/>
          <w:spacing w:val="0"/>
          <w:sz w:val="21"/>
          <w:szCs w:val="21"/>
          <w:highlight w:val="none"/>
          <w:shd w:val="clear" w:color="auto" w:fill="auto"/>
          <w:lang w:val="en-US" w:eastAsia="zh-CN"/>
        </w:rPr>
        <w:t>市资本集团微信公众号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eastAsia="zh-CN"/>
        </w:rPr>
        <w:t>台州市产研经济咨询有限公司</w:t>
      </w:r>
      <w:r>
        <w:rPr>
          <w:rFonts w:hint="eastAsia" w:ascii="仿宋_GB2312" w:hAnsi="仿宋_GB2312" w:eastAsia="仿宋_GB2312" w:cs="仿宋_GB2312"/>
          <w:i w:val="0"/>
          <w:caps w:val="0"/>
          <w:color w:val="auto"/>
          <w:spacing w:val="0"/>
          <w:sz w:val="32"/>
          <w:szCs w:val="32"/>
          <w:highlight w:val="none"/>
          <w:shd w:val="clear" w:color="auto" w:fill="auto"/>
          <w:lang w:eastAsia="zh-CN"/>
        </w:rPr>
        <w:t>成立于2024年10月，台州资本集团下属全资子公司，同时是台州市经济规划院有限公司的重要协同单位，双方在业务协同与项目承接上紧密结合，合力服务于台州市产业发展与政策研究工作。产研公司以产业研究与咨询服务为核心，专注打造专业化、高水平的智库平台。秉持“洞察、精准、高效”的理念，紧扣台州产业转型升级与国资国企高质量发展需求，提供专业支撑与决策参考。公司现设有综合办公室、产业研究所、企业研究所、工程研究所四个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eastAsia="zh-CN"/>
        </w:rPr>
        <w:t>台州市水利水电勘测设计院有限公司</w:t>
      </w:r>
      <w:r>
        <w:rPr>
          <w:rFonts w:hint="eastAsia" w:ascii="仿宋_GB2312" w:hAnsi="仿宋_GB2312" w:eastAsia="仿宋_GB2312" w:cs="仿宋_GB2312"/>
          <w:i w:val="0"/>
          <w:caps w:val="0"/>
          <w:color w:val="auto"/>
          <w:spacing w:val="0"/>
          <w:sz w:val="32"/>
          <w:szCs w:val="32"/>
          <w:highlight w:val="none"/>
          <w:shd w:val="clear" w:color="auto" w:fill="auto"/>
          <w:lang w:eastAsia="zh-CN"/>
        </w:rPr>
        <w:t>成立于1963年，2020年11月由事业单位改制为国有企业，2024年12月完成混合所有制改革，成功实现股权多元化布局，构建起更为灵活高效的体制机制。我公司为台州资本集团下属控股子公司，是一家集设计、勘察、咨询、EPC总承包为一体的勘察设计企业，拥有工程咨询单位甲级资信（水利水电）、工程设计水利行业乙级、工程勘察乙级、测绘乙级、水土保持方案编制三星、水土保持监测三星、水资源论证和水文水资源调查评价乙级等多项资质，并通过质量、环境和职业健康安全三大管理体系认证等多项资质。目前，公司拥有中高级职称90余人，注册土木(水利水电、岩土)工程师、建造师、造价师、咨询师等各类国家注册工程师50多人次，水利新型智库建设不断完善，已成为台州市水利行业的最重要的技术支撑力量。</w:t>
      </w:r>
    </w:p>
    <w:p>
      <w:pPr>
        <w:jc w:val="center"/>
        <w:rPr>
          <w:rFonts w:hint="default" w:ascii="仿宋_GB2312" w:hAnsi="仿宋_GB2312" w:eastAsia="仿宋_GB2312" w:cs="仿宋_GB2312"/>
          <w:sz w:val="36"/>
          <w:szCs w:val="36"/>
          <w:highlight w:val="none"/>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TA4M2I3MjNmNGMwMDk0NGZkZjFmN2ViMWUyM2YifQ=="/>
  </w:docVars>
  <w:rsids>
    <w:rsidRoot w:val="066B1E31"/>
    <w:rsid w:val="01CC4BE5"/>
    <w:rsid w:val="03642DAE"/>
    <w:rsid w:val="066B1E31"/>
    <w:rsid w:val="3DF157AE"/>
    <w:rsid w:val="437722D0"/>
    <w:rsid w:val="606505A8"/>
    <w:rsid w:val="66925AD1"/>
    <w:rsid w:val="6D0C5EFB"/>
    <w:rsid w:val="78D27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3363</Words>
  <Characters>3479</Characters>
  <Lines>0</Lines>
  <Paragraphs>0</Paragraphs>
  <TotalTime>2</TotalTime>
  <ScaleCrop>false</ScaleCrop>
  <LinksUpToDate>false</LinksUpToDate>
  <CharactersWithSpaces>3483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2025-10-27T01:24:00Z</dcterms:created>
  <dc:creator>郑云龙</dc:creator>
  <cp:lastModifiedBy>郑云龙</cp:lastModifiedBy>
  <dcterms:modified xsi:type="dcterms:W3CDTF">2025-10-28T09:22:48Z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93ED5696A9574C148FD600EBC5E3B5E6_13</vt:lpwstr>
  </property>
</Properties>
</file>