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3072" w:type="dxa"/>
        <w:tblInd w:w="9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658"/>
        <w:gridCol w:w="758"/>
        <w:gridCol w:w="685"/>
        <w:gridCol w:w="6789"/>
        <w:gridCol w:w="3534"/>
        <w:gridCol w:w="648"/>
      </w:tblGrid>
      <w:tr w14:paraId="30DCB7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24" w:hRule="atLeast"/>
        </w:trPr>
        <w:tc>
          <w:tcPr>
            <w:tcW w:w="13072" w:type="dxa"/>
            <w:gridSpan w:val="6"/>
            <w:tcBorders>
              <w:top w:val="nil"/>
              <w:left w:val="nil"/>
              <w:bottom w:val="nil"/>
              <w:right w:val="nil"/>
              <w:tl2br w:val="nil"/>
              <w:tr2bl w:val="nil"/>
            </w:tcBorders>
            <w:shd w:val="clear" w:color="auto" w:fill="auto"/>
            <w:noWrap/>
            <w:vAlign w:val="center"/>
          </w:tcPr>
          <w:p w14:paraId="0B48EBF2">
            <w:pPr>
              <w:jc w:val="both"/>
              <w:rPr>
                <w:rFonts w:hint="default" w:ascii="Times New Roman" w:hAnsi="Times New Roman" w:eastAsia="方正小标宋简体" w:cs="Times New Roman"/>
                <w:i w:val="0"/>
                <w:iCs w:val="0"/>
                <w:color w:val="000000"/>
                <w:sz w:val="36"/>
                <w:szCs w:val="36"/>
                <w:u w:val="none"/>
                <w:lang w:val="en-US"/>
              </w:rPr>
            </w:pPr>
            <w:bookmarkStart w:id="0" w:name="_GoBack"/>
            <w:bookmarkEnd w:id="0"/>
          </w:p>
        </w:tc>
      </w:tr>
      <w:tr w14:paraId="0523B8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24" w:hRule="atLeast"/>
        </w:trPr>
        <w:tc>
          <w:tcPr>
            <w:tcW w:w="13072" w:type="dxa"/>
            <w:gridSpan w:val="6"/>
            <w:tcBorders>
              <w:top w:val="nil"/>
              <w:left w:val="nil"/>
              <w:bottom w:val="nil"/>
              <w:right w:val="nil"/>
              <w:tl2br w:val="nil"/>
              <w:tr2bl w:val="nil"/>
            </w:tcBorders>
            <w:shd w:val="clear" w:color="auto" w:fill="auto"/>
            <w:noWrap/>
            <w:vAlign w:val="center"/>
          </w:tcPr>
          <w:p w14:paraId="2165FEA1">
            <w:pPr>
              <w:jc w:val="center"/>
              <w:rPr>
                <w:rFonts w:hint="default" w:ascii="Times New Roman" w:hAnsi="Times New Roman" w:eastAsia="方正小标宋简体" w:cs="Times New Roman"/>
                <w:i w:val="0"/>
                <w:iCs w:val="0"/>
                <w:color w:val="000000"/>
                <w:kern w:val="0"/>
                <w:sz w:val="36"/>
                <w:szCs w:val="36"/>
                <w:u w:val="none"/>
                <w:lang w:val="en-US" w:eastAsia="zh-CN" w:bidi="ar"/>
              </w:rPr>
            </w:pPr>
            <w:r>
              <w:rPr>
                <w:rFonts w:hint="default" w:ascii="Times New Roman" w:hAnsi="Times New Roman" w:eastAsia="方正小标宋简体" w:cs="Times New Roman"/>
                <w:i w:val="0"/>
                <w:iCs w:val="0"/>
                <w:color w:val="000000"/>
                <w:kern w:val="0"/>
                <w:sz w:val="36"/>
                <w:szCs w:val="36"/>
                <w:u w:val="none"/>
                <w:lang w:val="en-US" w:eastAsia="zh-CN" w:bidi="ar"/>
              </w:rPr>
              <w:t>河北临空集团</w:t>
            </w:r>
            <w:r>
              <w:rPr>
                <w:rFonts w:hint="eastAsia" w:ascii="Times New Roman" w:hAnsi="Times New Roman" w:eastAsia="方正小标宋简体" w:cs="Times New Roman"/>
                <w:i w:val="0"/>
                <w:iCs w:val="0"/>
                <w:color w:val="000000"/>
                <w:kern w:val="0"/>
                <w:sz w:val="36"/>
                <w:szCs w:val="36"/>
                <w:u w:val="none"/>
                <w:lang w:val="en-US" w:eastAsia="zh-CN" w:bidi="ar"/>
              </w:rPr>
              <w:t>公开</w:t>
            </w:r>
            <w:r>
              <w:rPr>
                <w:rFonts w:hint="default" w:ascii="Times New Roman" w:hAnsi="Times New Roman" w:eastAsia="方正小标宋简体" w:cs="Times New Roman"/>
                <w:i w:val="0"/>
                <w:iCs w:val="0"/>
                <w:color w:val="000000"/>
                <w:kern w:val="0"/>
                <w:sz w:val="36"/>
                <w:szCs w:val="36"/>
                <w:u w:val="none"/>
                <w:lang w:val="en-US" w:eastAsia="zh-CN" w:bidi="ar"/>
              </w:rPr>
              <w:t>招聘岗位职责及任职</w:t>
            </w:r>
            <w:r>
              <w:rPr>
                <w:rFonts w:hint="eastAsia" w:ascii="Times New Roman" w:hAnsi="Times New Roman" w:eastAsia="方正小标宋简体" w:cs="Times New Roman"/>
                <w:i w:val="0"/>
                <w:iCs w:val="0"/>
                <w:color w:val="000000"/>
                <w:kern w:val="0"/>
                <w:sz w:val="36"/>
                <w:szCs w:val="36"/>
                <w:u w:val="none"/>
                <w:lang w:val="en-US" w:eastAsia="zh-CN" w:bidi="ar"/>
              </w:rPr>
              <w:t>资格</w:t>
            </w:r>
            <w:r>
              <w:rPr>
                <w:rFonts w:hint="default" w:ascii="Times New Roman" w:hAnsi="Times New Roman" w:eastAsia="方正小标宋简体" w:cs="Times New Roman"/>
                <w:i w:val="0"/>
                <w:iCs w:val="0"/>
                <w:color w:val="000000"/>
                <w:kern w:val="0"/>
                <w:sz w:val="36"/>
                <w:szCs w:val="36"/>
                <w:u w:val="none"/>
                <w:lang w:val="en-US" w:eastAsia="zh-CN" w:bidi="ar"/>
              </w:rPr>
              <w:t>表</w:t>
            </w:r>
          </w:p>
        </w:tc>
      </w:tr>
      <w:tr w14:paraId="69CDA6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00" w:hRule="atLeast"/>
        </w:trPr>
        <w:tc>
          <w:tcPr>
            <w:tcW w:w="658" w:type="dxa"/>
            <w:tcBorders>
              <w:top w:val="nil"/>
              <w:left w:val="nil"/>
              <w:bottom w:val="single" w:color="auto" w:sz="4" w:space="0"/>
              <w:right w:val="nil"/>
              <w:tl2br w:val="nil"/>
              <w:tr2bl w:val="nil"/>
            </w:tcBorders>
            <w:shd w:val="clear" w:color="auto" w:fill="auto"/>
            <w:noWrap/>
            <w:vAlign w:val="center"/>
          </w:tcPr>
          <w:p w14:paraId="63F9CC87">
            <w:pPr>
              <w:rPr>
                <w:rFonts w:hint="default" w:ascii="Times New Roman" w:hAnsi="Times New Roman" w:eastAsia="宋体" w:cs="Times New Roman"/>
                <w:i w:val="0"/>
                <w:iCs w:val="0"/>
                <w:color w:val="000000"/>
                <w:sz w:val="24"/>
                <w:szCs w:val="24"/>
                <w:u w:val="none"/>
              </w:rPr>
            </w:pPr>
          </w:p>
        </w:tc>
        <w:tc>
          <w:tcPr>
            <w:tcW w:w="758" w:type="dxa"/>
            <w:tcBorders>
              <w:top w:val="nil"/>
              <w:left w:val="nil"/>
              <w:bottom w:val="single" w:color="auto" w:sz="4" w:space="0"/>
              <w:right w:val="nil"/>
              <w:tl2br w:val="nil"/>
              <w:tr2bl w:val="nil"/>
            </w:tcBorders>
            <w:shd w:val="clear" w:color="auto" w:fill="auto"/>
            <w:noWrap/>
            <w:vAlign w:val="center"/>
          </w:tcPr>
          <w:p w14:paraId="6D909F9B">
            <w:pPr>
              <w:rPr>
                <w:rFonts w:hint="default" w:ascii="Times New Roman" w:hAnsi="Times New Roman" w:eastAsia="宋体" w:cs="Times New Roman"/>
                <w:i w:val="0"/>
                <w:iCs w:val="0"/>
                <w:color w:val="000000"/>
                <w:sz w:val="24"/>
                <w:szCs w:val="24"/>
                <w:u w:val="none"/>
              </w:rPr>
            </w:pPr>
          </w:p>
        </w:tc>
        <w:tc>
          <w:tcPr>
            <w:tcW w:w="685" w:type="dxa"/>
            <w:tcBorders>
              <w:top w:val="nil"/>
              <w:left w:val="nil"/>
              <w:bottom w:val="single" w:color="auto" w:sz="4" w:space="0"/>
              <w:right w:val="nil"/>
              <w:tl2br w:val="nil"/>
              <w:tr2bl w:val="nil"/>
            </w:tcBorders>
            <w:shd w:val="clear" w:color="auto" w:fill="auto"/>
            <w:noWrap/>
            <w:vAlign w:val="center"/>
          </w:tcPr>
          <w:p w14:paraId="05F66B18">
            <w:pPr>
              <w:jc w:val="center"/>
              <w:rPr>
                <w:rFonts w:hint="default" w:ascii="Times New Roman" w:hAnsi="Times New Roman" w:eastAsia="宋体" w:cs="Times New Roman"/>
                <w:i w:val="0"/>
                <w:iCs w:val="0"/>
                <w:color w:val="000000"/>
                <w:sz w:val="24"/>
                <w:szCs w:val="24"/>
                <w:u w:val="none"/>
              </w:rPr>
            </w:pPr>
          </w:p>
        </w:tc>
        <w:tc>
          <w:tcPr>
            <w:tcW w:w="6789" w:type="dxa"/>
            <w:tcBorders>
              <w:top w:val="nil"/>
              <w:left w:val="nil"/>
              <w:bottom w:val="single" w:color="auto" w:sz="4" w:space="0"/>
              <w:right w:val="nil"/>
              <w:tl2br w:val="nil"/>
              <w:tr2bl w:val="nil"/>
            </w:tcBorders>
            <w:shd w:val="clear" w:color="auto" w:fill="auto"/>
            <w:noWrap/>
            <w:vAlign w:val="center"/>
          </w:tcPr>
          <w:p w14:paraId="47E28FA2">
            <w:pPr>
              <w:rPr>
                <w:rFonts w:hint="default" w:ascii="Times New Roman" w:hAnsi="Times New Roman" w:eastAsia="宋体" w:cs="Times New Roman"/>
                <w:i w:val="0"/>
                <w:iCs w:val="0"/>
                <w:color w:val="000000"/>
                <w:sz w:val="24"/>
                <w:szCs w:val="24"/>
                <w:u w:val="none"/>
              </w:rPr>
            </w:pPr>
          </w:p>
        </w:tc>
        <w:tc>
          <w:tcPr>
            <w:tcW w:w="3534" w:type="dxa"/>
            <w:tcBorders>
              <w:top w:val="nil"/>
              <w:left w:val="nil"/>
              <w:bottom w:val="single" w:color="auto" w:sz="4" w:space="0"/>
              <w:right w:val="nil"/>
              <w:tl2br w:val="nil"/>
              <w:tr2bl w:val="nil"/>
            </w:tcBorders>
            <w:shd w:val="clear" w:color="auto" w:fill="auto"/>
            <w:noWrap/>
            <w:vAlign w:val="center"/>
          </w:tcPr>
          <w:p w14:paraId="031136CF">
            <w:pPr>
              <w:rPr>
                <w:rFonts w:hint="default" w:ascii="Times New Roman" w:hAnsi="Times New Roman" w:eastAsia="宋体" w:cs="Times New Roman"/>
                <w:i w:val="0"/>
                <w:iCs w:val="0"/>
                <w:color w:val="000000"/>
                <w:sz w:val="24"/>
                <w:szCs w:val="24"/>
                <w:u w:val="none"/>
              </w:rPr>
            </w:pPr>
          </w:p>
        </w:tc>
        <w:tc>
          <w:tcPr>
            <w:tcW w:w="648" w:type="dxa"/>
            <w:tcBorders>
              <w:top w:val="nil"/>
              <w:left w:val="nil"/>
              <w:bottom w:val="single" w:color="auto" w:sz="4" w:space="0"/>
              <w:right w:val="nil"/>
              <w:tl2br w:val="nil"/>
              <w:tr2bl w:val="nil"/>
            </w:tcBorders>
            <w:shd w:val="clear" w:color="auto" w:fill="auto"/>
            <w:noWrap/>
            <w:vAlign w:val="center"/>
          </w:tcPr>
          <w:p w14:paraId="4829DEF2">
            <w:pPr>
              <w:jc w:val="center"/>
              <w:rPr>
                <w:rFonts w:hint="default" w:ascii="Times New Roman" w:hAnsi="Times New Roman" w:eastAsia="宋体" w:cs="Times New Roman"/>
                <w:i w:val="0"/>
                <w:iCs w:val="0"/>
                <w:color w:val="000000"/>
                <w:sz w:val="24"/>
                <w:szCs w:val="24"/>
                <w:u w:val="none"/>
              </w:rPr>
            </w:pPr>
          </w:p>
        </w:tc>
      </w:tr>
      <w:tr w14:paraId="1065C8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60" w:hRule="atLeast"/>
        </w:trPr>
        <w:tc>
          <w:tcPr>
            <w:tcW w:w="658"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0661DE9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部门</w:t>
            </w:r>
          </w:p>
        </w:tc>
        <w:tc>
          <w:tcPr>
            <w:tcW w:w="758"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7B0FB8D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岗位</w:t>
            </w:r>
          </w:p>
        </w:tc>
        <w:tc>
          <w:tcPr>
            <w:tcW w:w="68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5D4002D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人数</w:t>
            </w:r>
          </w:p>
        </w:tc>
        <w:tc>
          <w:tcPr>
            <w:tcW w:w="6789"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45BCB5B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岗位职责</w:t>
            </w:r>
          </w:p>
        </w:tc>
        <w:tc>
          <w:tcPr>
            <w:tcW w:w="3534"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21B07AA3">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lang w:val="en-US"/>
              </w:rPr>
            </w:pPr>
            <w:r>
              <w:rPr>
                <w:rFonts w:hint="default" w:ascii="Times New Roman" w:hAnsi="Times New Roman" w:eastAsia="宋体" w:cs="Times New Roman"/>
                <w:b/>
                <w:bCs/>
                <w:i w:val="0"/>
                <w:iCs w:val="0"/>
                <w:color w:val="000000"/>
                <w:kern w:val="0"/>
                <w:sz w:val="22"/>
                <w:szCs w:val="22"/>
                <w:u w:val="none"/>
                <w:lang w:val="en-US" w:eastAsia="zh-CN" w:bidi="ar"/>
              </w:rPr>
              <w:t>任职</w:t>
            </w:r>
            <w:r>
              <w:rPr>
                <w:rFonts w:hint="eastAsia" w:ascii="Times New Roman" w:hAnsi="Times New Roman" w:eastAsia="宋体" w:cs="Times New Roman"/>
                <w:b/>
                <w:bCs/>
                <w:i w:val="0"/>
                <w:iCs w:val="0"/>
                <w:color w:val="000000"/>
                <w:kern w:val="0"/>
                <w:sz w:val="22"/>
                <w:szCs w:val="22"/>
                <w:u w:val="none"/>
                <w:lang w:val="en-US" w:eastAsia="zh-CN" w:bidi="ar"/>
              </w:rPr>
              <w:t>资格</w:t>
            </w:r>
          </w:p>
        </w:tc>
        <w:tc>
          <w:tcPr>
            <w:tcW w:w="648"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599652B3">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备注</w:t>
            </w:r>
          </w:p>
        </w:tc>
      </w:tr>
      <w:tr w14:paraId="4B04FA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480" w:hRule="atLeast"/>
        </w:trPr>
        <w:tc>
          <w:tcPr>
            <w:tcW w:w="658" w:type="dxa"/>
            <w:vMerge w:val="restart"/>
            <w:tcBorders>
              <w:top w:val="single" w:color="auto" w:sz="4" w:space="0"/>
              <w:bottom w:val="single" w:color="auto" w:sz="4" w:space="0"/>
              <w:tl2br w:val="nil"/>
              <w:tr2bl w:val="nil"/>
            </w:tcBorders>
            <w:shd w:val="clear" w:color="auto" w:fill="auto"/>
            <w:noWrap/>
            <w:textDirection w:val="tbRlV"/>
            <w:vAlign w:val="center"/>
          </w:tcPr>
          <w:p w14:paraId="5D8E7E06">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人力资源部</w:t>
            </w:r>
          </w:p>
        </w:tc>
        <w:tc>
          <w:tcPr>
            <w:tcW w:w="758" w:type="dxa"/>
            <w:vMerge w:val="restart"/>
            <w:tcBorders>
              <w:top w:val="single" w:color="auto" w:sz="4" w:space="0"/>
              <w:bottom w:val="single" w:color="auto" w:sz="4" w:space="0"/>
              <w:tl2br w:val="nil"/>
              <w:tr2bl w:val="nil"/>
            </w:tcBorders>
            <w:shd w:val="clear" w:color="auto" w:fill="auto"/>
            <w:vAlign w:val="center"/>
          </w:tcPr>
          <w:p w14:paraId="57347B2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主任</w:t>
            </w:r>
          </w:p>
        </w:tc>
        <w:tc>
          <w:tcPr>
            <w:tcW w:w="685" w:type="dxa"/>
            <w:vMerge w:val="restart"/>
            <w:tcBorders>
              <w:top w:val="single" w:color="auto" w:sz="4" w:space="0"/>
              <w:bottom w:val="single" w:color="auto" w:sz="4" w:space="0"/>
              <w:tl2br w:val="nil"/>
              <w:tr2bl w:val="nil"/>
            </w:tcBorders>
            <w:shd w:val="clear" w:color="auto" w:fill="auto"/>
            <w:vAlign w:val="center"/>
          </w:tcPr>
          <w:p w14:paraId="2B68B59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6789" w:type="dxa"/>
            <w:vMerge w:val="restart"/>
            <w:tcBorders>
              <w:top w:val="single" w:color="auto" w:sz="4" w:space="0"/>
              <w:bottom w:val="single" w:color="auto" w:sz="4" w:space="0"/>
              <w:tl2br w:val="nil"/>
              <w:tr2bl w:val="nil"/>
            </w:tcBorders>
            <w:shd w:val="clear" w:color="auto" w:fill="auto"/>
            <w:vAlign w:val="center"/>
          </w:tcPr>
          <w:p w14:paraId="1C9B7DDC">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全面负责人力资源部工作。</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1.负责集团党建工作，包括党建规章制度的制定、党建工作计划起草与落实、党组织动态调整；负责领导班子民主生活会组织督导；负责对所属基层党组织党建责任制落实情况进行考核</w:t>
            </w:r>
            <w:r>
              <w:rPr>
                <w:rFonts w:hint="eastAsia" w:ascii="Times New Roman" w:hAnsi="Times New Roman" w:eastAsia="宋体" w:cs="Times New Roman"/>
                <w:i w:val="0"/>
                <w:iCs w:val="0"/>
                <w:color w:val="000000"/>
                <w:kern w:val="0"/>
                <w:sz w:val="18"/>
                <w:szCs w:val="18"/>
                <w:u w:val="none"/>
                <w:lang w:val="en-US" w:eastAsia="zh-CN" w:bidi="ar"/>
              </w:rPr>
              <w:t>；</w:t>
            </w:r>
          </w:p>
          <w:p w14:paraId="584E80F5">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2.负责党员思想政治教育、党员发展、党费收缴管理、组织关系转接、党员档案管理等工作，推进学习型党组织建设</w:t>
            </w:r>
            <w:r>
              <w:rPr>
                <w:rFonts w:hint="eastAsia" w:ascii="Times New Roman" w:hAnsi="Times New Roman" w:eastAsia="宋体" w:cs="Times New Roman"/>
                <w:i w:val="0"/>
                <w:iCs w:val="0"/>
                <w:color w:val="000000"/>
                <w:kern w:val="0"/>
                <w:sz w:val="18"/>
                <w:szCs w:val="18"/>
                <w:u w:val="none"/>
                <w:lang w:val="en-US" w:eastAsia="zh-CN" w:bidi="ar"/>
              </w:rPr>
              <w:t>；</w:t>
            </w:r>
          </w:p>
          <w:p w14:paraId="514E3918">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3.负责统战工作；负责集团工会、职代会、团委工作，协助集团党委领导集团工会、共青团等组织，支持群团组织依照各自章程独立开展工作：负责对集团所属基层群团组织进行指导和考核</w:t>
            </w:r>
            <w:r>
              <w:rPr>
                <w:rFonts w:hint="eastAsia"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eastAsia" w:ascii="Times New Roman" w:hAnsi="Times New Roman" w:eastAsia="宋体" w:cs="Times New Roman"/>
                <w:i w:val="0"/>
                <w:iCs w:val="0"/>
                <w:color w:val="000000"/>
                <w:kern w:val="0"/>
                <w:sz w:val="18"/>
                <w:szCs w:val="18"/>
                <w:u w:val="none"/>
                <w:lang w:val="en-US" w:eastAsia="zh-CN" w:bidi="ar"/>
              </w:rPr>
              <w:t>4</w:t>
            </w:r>
            <w:r>
              <w:rPr>
                <w:rFonts w:hint="default" w:ascii="Times New Roman" w:hAnsi="Times New Roman" w:eastAsia="宋体" w:cs="Times New Roman"/>
                <w:i w:val="0"/>
                <w:iCs w:val="0"/>
                <w:color w:val="000000"/>
                <w:kern w:val="0"/>
                <w:sz w:val="18"/>
                <w:szCs w:val="18"/>
                <w:u w:val="none"/>
                <w:lang w:val="en-US" w:eastAsia="zh-CN" w:bidi="ar"/>
              </w:rPr>
              <w:t>.负责集团意识形态、宣传舆论、企业文化和品牌建设工作；</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eastAsia" w:ascii="Times New Roman" w:hAnsi="Times New Roman" w:eastAsia="宋体" w:cs="Times New Roman"/>
                <w:i w:val="0"/>
                <w:iCs w:val="0"/>
                <w:color w:val="000000"/>
                <w:kern w:val="0"/>
                <w:sz w:val="18"/>
                <w:szCs w:val="18"/>
                <w:u w:val="none"/>
                <w:lang w:val="en-US" w:eastAsia="zh-CN" w:bidi="ar"/>
              </w:rPr>
              <w:t>5</w:t>
            </w:r>
            <w:r>
              <w:rPr>
                <w:rFonts w:hint="default" w:ascii="Times New Roman" w:hAnsi="Times New Roman" w:eastAsia="宋体" w:cs="Times New Roman"/>
                <w:i w:val="0"/>
                <w:iCs w:val="0"/>
                <w:color w:val="000000"/>
                <w:kern w:val="0"/>
                <w:sz w:val="18"/>
                <w:szCs w:val="18"/>
                <w:u w:val="none"/>
                <w:lang w:val="en-US" w:eastAsia="zh-CN" w:bidi="ar"/>
              </w:rPr>
              <w:t>.负责建立健全集团人力资源管理体系，统筹管理集团人力资源工作，制定完善相关管理制度；</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eastAsia" w:ascii="Times New Roman" w:hAnsi="Times New Roman" w:eastAsia="宋体" w:cs="Times New Roman"/>
                <w:i w:val="0"/>
                <w:iCs w:val="0"/>
                <w:color w:val="000000"/>
                <w:kern w:val="0"/>
                <w:sz w:val="18"/>
                <w:szCs w:val="18"/>
                <w:u w:val="none"/>
                <w:lang w:val="en-US" w:eastAsia="zh-CN" w:bidi="ar"/>
              </w:rPr>
              <w:t>6</w:t>
            </w:r>
            <w:r>
              <w:rPr>
                <w:rFonts w:hint="default" w:ascii="Times New Roman" w:hAnsi="Times New Roman" w:eastAsia="宋体" w:cs="Times New Roman"/>
                <w:i w:val="0"/>
                <w:iCs w:val="0"/>
                <w:color w:val="000000"/>
                <w:kern w:val="0"/>
                <w:sz w:val="18"/>
                <w:szCs w:val="18"/>
                <w:u w:val="none"/>
                <w:lang w:val="en-US" w:eastAsia="zh-CN" w:bidi="ar"/>
              </w:rPr>
              <w:t>..负责集团人才配置和人才发展工作，建立完善集团招聘管理体系，制订人才招聘计划，组织实施人员招聘、甄选、入离职管理工作；</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eastAsia" w:ascii="Times New Roman" w:hAnsi="Times New Roman" w:eastAsia="宋体" w:cs="Times New Roman"/>
                <w:i w:val="0"/>
                <w:iCs w:val="0"/>
                <w:color w:val="000000"/>
                <w:kern w:val="0"/>
                <w:sz w:val="18"/>
                <w:szCs w:val="18"/>
                <w:u w:val="none"/>
                <w:lang w:val="en-US" w:eastAsia="zh-CN" w:bidi="ar"/>
              </w:rPr>
              <w:t>7</w:t>
            </w:r>
            <w:r>
              <w:rPr>
                <w:rFonts w:hint="default" w:ascii="Times New Roman" w:hAnsi="Times New Roman" w:eastAsia="宋体" w:cs="Times New Roman"/>
                <w:i w:val="0"/>
                <w:iCs w:val="0"/>
                <w:color w:val="000000"/>
                <w:kern w:val="0"/>
                <w:sz w:val="18"/>
                <w:szCs w:val="18"/>
                <w:u w:val="none"/>
                <w:lang w:val="en-US" w:eastAsia="zh-CN" w:bidi="ar"/>
              </w:rPr>
              <w:t>.负责薪酬福利管理，制定完善集团薪酬福利体系，建立健全集团薪酬福利制度，组织集团员工的薪酬、社保公积金、企业年金、补充医疗保险等管理工作；</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eastAsia" w:ascii="Times New Roman" w:hAnsi="Times New Roman" w:eastAsia="宋体" w:cs="Times New Roman"/>
                <w:i w:val="0"/>
                <w:iCs w:val="0"/>
                <w:color w:val="000000"/>
                <w:kern w:val="0"/>
                <w:sz w:val="18"/>
                <w:szCs w:val="18"/>
                <w:u w:val="none"/>
                <w:lang w:val="en-US" w:eastAsia="zh-CN" w:bidi="ar"/>
              </w:rPr>
              <w:t>8</w:t>
            </w:r>
            <w:r>
              <w:rPr>
                <w:rFonts w:hint="default" w:ascii="Times New Roman" w:hAnsi="Times New Roman" w:eastAsia="宋体" w:cs="Times New Roman"/>
                <w:i w:val="0"/>
                <w:iCs w:val="0"/>
                <w:color w:val="000000"/>
                <w:kern w:val="0"/>
                <w:sz w:val="18"/>
                <w:szCs w:val="18"/>
                <w:u w:val="none"/>
                <w:lang w:val="en-US" w:eastAsia="zh-CN" w:bidi="ar"/>
              </w:rPr>
              <w:t>.负责人员绩效考核管理。建立健全集团人员绩效考核体系，研究完善相关制度，组织开展员工绩效考核工作，加强考核评价结果的应用；</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eastAsia" w:ascii="Times New Roman" w:hAnsi="Times New Roman" w:eastAsia="宋体" w:cs="Times New Roman"/>
                <w:i w:val="0"/>
                <w:iCs w:val="0"/>
                <w:color w:val="000000"/>
                <w:kern w:val="0"/>
                <w:sz w:val="18"/>
                <w:szCs w:val="18"/>
                <w:u w:val="none"/>
                <w:lang w:val="en-US" w:eastAsia="zh-CN" w:bidi="ar"/>
              </w:rPr>
              <w:t>9</w:t>
            </w:r>
            <w:r>
              <w:rPr>
                <w:rFonts w:hint="default" w:ascii="Times New Roman" w:hAnsi="Times New Roman" w:eastAsia="宋体" w:cs="Times New Roman"/>
                <w:i w:val="0"/>
                <w:iCs w:val="0"/>
                <w:color w:val="000000"/>
                <w:kern w:val="0"/>
                <w:sz w:val="18"/>
                <w:szCs w:val="18"/>
                <w:u w:val="none"/>
                <w:lang w:val="en-US" w:eastAsia="zh-CN" w:bidi="ar"/>
              </w:rPr>
              <w:t>.负责员工培训管理</w:t>
            </w:r>
            <w:r>
              <w:rPr>
                <w:rFonts w:hint="eastAsia"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员工劳动关系管理</w:t>
            </w:r>
            <w:r>
              <w:rPr>
                <w:rFonts w:hint="eastAsia"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人事档案管理工作；</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10.负责对集团下属公司的人力资源管理工作进行指导、监督和检查；</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11.负责与党群干部、人力资源管理相关工作及完成集团党委和领导交办的其他工作。</w:t>
            </w:r>
          </w:p>
        </w:tc>
        <w:tc>
          <w:tcPr>
            <w:tcW w:w="3534" w:type="dxa"/>
            <w:vMerge w:val="restart"/>
            <w:tcBorders>
              <w:top w:val="single" w:color="auto" w:sz="4" w:space="0"/>
              <w:bottom w:val="single" w:color="auto" w:sz="4" w:space="0"/>
              <w:tl2br w:val="nil"/>
              <w:tr2bl w:val="nil"/>
            </w:tcBorders>
            <w:shd w:val="clear" w:color="auto" w:fill="auto"/>
            <w:vAlign w:val="center"/>
          </w:tcPr>
          <w:p w14:paraId="239030A6">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1.大学本科及以上；8年及以上工作经验，2年及以上管理岗位工作经历，5年及以上本专业/领域相关工作经历；</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2.政治学、马克思主义理论、人力资源管理、行政管理等专业优先；</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3.具有党政或人力资源管理工作及团队管理经验，具有党委部门或组织部门工作经历者优先；</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4.精通基层党组织建设及党建考核，熟悉《中国共产党国有企业基层组织工作条例》及干部选拔任用工作流程，擅长人力资源体系顶层设计，具备企业文化建设实战经验；</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5.政治敏锐度高，原则性强，统筹协调能力突出；</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6.持有一级人力资源管理师或高级经济师及以上证书优先；</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7.中共党员。</w:t>
            </w:r>
          </w:p>
        </w:tc>
        <w:tc>
          <w:tcPr>
            <w:tcW w:w="648" w:type="dxa"/>
            <w:vMerge w:val="restart"/>
            <w:tcBorders>
              <w:top w:val="single" w:color="auto" w:sz="4" w:space="0"/>
              <w:bottom w:val="single" w:color="auto" w:sz="4" w:space="0"/>
              <w:tl2br w:val="nil"/>
              <w:tr2bl w:val="nil"/>
            </w:tcBorders>
            <w:shd w:val="clear" w:color="auto" w:fill="auto"/>
            <w:vAlign w:val="center"/>
          </w:tcPr>
          <w:p w14:paraId="34047097">
            <w:pPr>
              <w:jc w:val="center"/>
              <w:rPr>
                <w:rFonts w:hint="default" w:ascii="Times New Roman" w:hAnsi="Times New Roman" w:eastAsia="宋体" w:cs="Times New Roman"/>
                <w:i w:val="0"/>
                <w:iCs w:val="0"/>
                <w:color w:val="000000"/>
                <w:sz w:val="18"/>
                <w:szCs w:val="18"/>
                <w:u w:val="none"/>
              </w:rPr>
            </w:pPr>
          </w:p>
        </w:tc>
      </w:tr>
      <w:tr w14:paraId="1EBDB6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00" w:hRule="atLeast"/>
        </w:trPr>
        <w:tc>
          <w:tcPr>
            <w:tcW w:w="658" w:type="dxa"/>
            <w:vMerge w:val="continue"/>
            <w:tcBorders>
              <w:top w:val="single" w:color="auto" w:sz="4" w:space="0"/>
              <w:bottom w:val="single" w:color="auto" w:sz="4" w:space="0"/>
              <w:tl2br w:val="nil"/>
              <w:tr2bl w:val="nil"/>
            </w:tcBorders>
            <w:shd w:val="clear" w:color="auto" w:fill="auto"/>
            <w:noWrap/>
            <w:textDirection w:val="tbRlV"/>
            <w:vAlign w:val="center"/>
          </w:tcPr>
          <w:p w14:paraId="2A95EEE4">
            <w:pPr>
              <w:jc w:val="center"/>
              <w:rPr>
                <w:rFonts w:hint="default" w:ascii="Times New Roman" w:hAnsi="Times New Roman" w:eastAsia="宋体" w:cs="Times New Roman"/>
                <w:b/>
                <w:bCs/>
                <w:i w:val="0"/>
                <w:iCs w:val="0"/>
                <w:color w:val="000000"/>
                <w:sz w:val="18"/>
                <w:szCs w:val="18"/>
                <w:u w:val="none"/>
              </w:rPr>
            </w:pPr>
          </w:p>
        </w:tc>
        <w:tc>
          <w:tcPr>
            <w:tcW w:w="758" w:type="dxa"/>
            <w:vMerge w:val="continue"/>
            <w:tcBorders>
              <w:top w:val="single" w:color="auto" w:sz="4" w:space="0"/>
              <w:bottom w:val="single" w:color="auto" w:sz="4" w:space="0"/>
              <w:tl2br w:val="nil"/>
              <w:tr2bl w:val="nil"/>
            </w:tcBorders>
            <w:shd w:val="clear" w:color="auto" w:fill="auto"/>
            <w:vAlign w:val="center"/>
          </w:tcPr>
          <w:p w14:paraId="27BDC725">
            <w:pPr>
              <w:jc w:val="center"/>
              <w:rPr>
                <w:rFonts w:hint="default" w:ascii="Times New Roman" w:hAnsi="Times New Roman" w:eastAsia="宋体" w:cs="Times New Roman"/>
                <w:i w:val="0"/>
                <w:iCs w:val="0"/>
                <w:color w:val="000000"/>
                <w:sz w:val="18"/>
                <w:szCs w:val="18"/>
                <w:u w:val="none"/>
              </w:rPr>
            </w:pPr>
          </w:p>
        </w:tc>
        <w:tc>
          <w:tcPr>
            <w:tcW w:w="685" w:type="dxa"/>
            <w:vMerge w:val="continue"/>
            <w:tcBorders>
              <w:top w:val="single" w:color="auto" w:sz="4" w:space="0"/>
              <w:bottom w:val="single" w:color="auto" w:sz="4" w:space="0"/>
              <w:tl2br w:val="nil"/>
              <w:tr2bl w:val="nil"/>
            </w:tcBorders>
            <w:shd w:val="clear" w:color="auto" w:fill="auto"/>
            <w:vAlign w:val="center"/>
          </w:tcPr>
          <w:p w14:paraId="3378F8E9">
            <w:pPr>
              <w:jc w:val="center"/>
              <w:rPr>
                <w:rFonts w:hint="default" w:ascii="Times New Roman" w:hAnsi="Times New Roman" w:eastAsia="宋体" w:cs="Times New Roman"/>
                <w:i w:val="0"/>
                <w:iCs w:val="0"/>
                <w:color w:val="000000"/>
                <w:sz w:val="18"/>
                <w:szCs w:val="18"/>
                <w:u w:val="none"/>
              </w:rPr>
            </w:pPr>
          </w:p>
        </w:tc>
        <w:tc>
          <w:tcPr>
            <w:tcW w:w="6789" w:type="dxa"/>
            <w:vMerge w:val="continue"/>
            <w:tcBorders>
              <w:top w:val="single" w:color="auto" w:sz="4" w:space="0"/>
              <w:bottom w:val="single" w:color="auto" w:sz="4" w:space="0"/>
              <w:tl2br w:val="nil"/>
              <w:tr2bl w:val="nil"/>
            </w:tcBorders>
            <w:shd w:val="clear" w:color="auto" w:fill="auto"/>
            <w:vAlign w:val="center"/>
          </w:tcPr>
          <w:p w14:paraId="383E84A8">
            <w:pPr>
              <w:jc w:val="left"/>
              <w:rPr>
                <w:rFonts w:hint="default" w:ascii="Times New Roman" w:hAnsi="Times New Roman" w:eastAsia="宋体" w:cs="Times New Roman"/>
                <w:i w:val="0"/>
                <w:iCs w:val="0"/>
                <w:color w:val="000000"/>
                <w:sz w:val="18"/>
                <w:szCs w:val="18"/>
                <w:u w:val="none"/>
              </w:rPr>
            </w:pPr>
          </w:p>
        </w:tc>
        <w:tc>
          <w:tcPr>
            <w:tcW w:w="3534" w:type="dxa"/>
            <w:vMerge w:val="continue"/>
            <w:tcBorders>
              <w:top w:val="single" w:color="auto" w:sz="4" w:space="0"/>
              <w:bottom w:val="single" w:color="auto" w:sz="4" w:space="0"/>
              <w:tl2br w:val="nil"/>
              <w:tr2bl w:val="nil"/>
            </w:tcBorders>
            <w:shd w:val="clear" w:color="auto" w:fill="auto"/>
            <w:vAlign w:val="center"/>
          </w:tcPr>
          <w:p w14:paraId="7FB26933">
            <w:pPr>
              <w:jc w:val="left"/>
              <w:rPr>
                <w:rFonts w:hint="default" w:ascii="Times New Roman" w:hAnsi="Times New Roman" w:eastAsia="宋体" w:cs="Times New Roman"/>
                <w:i w:val="0"/>
                <w:iCs w:val="0"/>
                <w:color w:val="000000"/>
                <w:sz w:val="18"/>
                <w:szCs w:val="18"/>
                <w:u w:val="none"/>
              </w:rPr>
            </w:pPr>
          </w:p>
        </w:tc>
        <w:tc>
          <w:tcPr>
            <w:tcW w:w="648" w:type="dxa"/>
            <w:vMerge w:val="continue"/>
            <w:tcBorders>
              <w:top w:val="single" w:color="auto" w:sz="4" w:space="0"/>
              <w:bottom w:val="single" w:color="auto" w:sz="4" w:space="0"/>
              <w:tl2br w:val="nil"/>
              <w:tr2bl w:val="nil"/>
            </w:tcBorders>
            <w:shd w:val="clear" w:color="auto" w:fill="auto"/>
            <w:vAlign w:val="center"/>
          </w:tcPr>
          <w:p w14:paraId="6A3F5A3A">
            <w:pPr>
              <w:jc w:val="center"/>
              <w:rPr>
                <w:rFonts w:hint="default" w:ascii="Times New Roman" w:hAnsi="Times New Roman" w:eastAsia="宋体" w:cs="Times New Roman"/>
                <w:i w:val="0"/>
                <w:iCs w:val="0"/>
                <w:color w:val="000000"/>
                <w:sz w:val="18"/>
                <w:szCs w:val="18"/>
                <w:u w:val="none"/>
              </w:rPr>
            </w:pPr>
          </w:p>
        </w:tc>
      </w:tr>
      <w:tr w14:paraId="4BEDE5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20" w:hRule="atLeast"/>
        </w:trPr>
        <w:tc>
          <w:tcPr>
            <w:tcW w:w="658" w:type="dxa"/>
            <w:tcBorders>
              <w:top w:val="single" w:color="auto" w:sz="4" w:space="0"/>
              <w:tl2br w:val="nil"/>
              <w:tr2bl w:val="nil"/>
            </w:tcBorders>
            <w:shd w:val="clear" w:color="auto" w:fill="auto"/>
            <w:noWrap/>
            <w:textDirection w:val="tbRlV"/>
            <w:vAlign w:val="center"/>
          </w:tcPr>
          <w:p w14:paraId="1DD3D21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金融发展部</w:t>
            </w:r>
          </w:p>
        </w:tc>
        <w:tc>
          <w:tcPr>
            <w:tcW w:w="758" w:type="dxa"/>
            <w:tcBorders>
              <w:top w:val="single" w:color="auto" w:sz="4" w:space="0"/>
              <w:tl2br w:val="nil"/>
              <w:tr2bl w:val="nil"/>
            </w:tcBorders>
            <w:shd w:val="clear" w:color="auto" w:fill="auto"/>
            <w:vAlign w:val="center"/>
          </w:tcPr>
          <w:p w14:paraId="0E43FED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副主任</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（主管银行融资）</w:t>
            </w:r>
          </w:p>
        </w:tc>
        <w:tc>
          <w:tcPr>
            <w:tcW w:w="685" w:type="dxa"/>
            <w:tcBorders>
              <w:top w:val="single" w:color="auto" w:sz="4" w:space="0"/>
              <w:tl2br w:val="nil"/>
              <w:tr2bl w:val="nil"/>
            </w:tcBorders>
            <w:shd w:val="clear" w:color="auto" w:fill="auto"/>
            <w:vAlign w:val="center"/>
          </w:tcPr>
          <w:p w14:paraId="61F4418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6789" w:type="dxa"/>
            <w:tcBorders>
              <w:top w:val="single" w:color="auto" w:sz="4" w:space="0"/>
              <w:tl2br w:val="nil"/>
              <w:tr2bl w:val="nil"/>
            </w:tcBorders>
            <w:shd w:val="clear" w:color="auto" w:fill="auto"/>
            <w:vAlign w:val="center"/>
          </w:tcPr>
          <w:p w14:paraId="5FEDE448">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1.负责集团融资管理相关制度、流程的制定和修改；</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2.负责集团授信管理工作，开展集团与各授信银行总、分、支三级行的授信年审工作、关系维护及信用额度的使用，监督指导集团下属各级公司的融资申请、额度使用</w:t>
            </w:r>
            <w:r>
              <w:rPr>
                <w:rFonts w:hint="eastAsia"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3.负责集团整体融资计划的编制、执行和分析总结，牵头制定偿债计划，各部门分子公司配合，科学合理地控制债务规模、优化债务结构</w:t>
            </w:r>
            <w:r>
              <w:rPr>
                <w:rFonts w:hint="eastAsia"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4.执行集团的融资方针政策，组织开展各项融资工作，保障企业资金的流动性；协助子公司融资相关事宜，审核子公司融资业务，审核集团担保事项</w:t>
            </w:r>
            <w:r>
              <w:rPr>
                <w:rFonts w:hint="eastAsia"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5.负责统筹集团公司债、企业债等债券发行工作，协助管委会申请国家专项债和政策性资金</w:t>
            </w:r>
            <w:r>
              <w:rPr>
                <w:rFonts w:hint="eastAsia"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6.负责推动金融创新，协调引导金融机构支持服务实体经济发展，助力培育推荐企业挂牌上市等金融工作</w:t>
            </w:r>
            <w:r>
              <w:rPr>
                <w:rFonts w:hint="eastAsia"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7.组织开展集团相关REITs、ABS、ABN等资产证券化业务</w:t>
            </w:r>
            <w:r>
              <w:rPr>
                <w:rFonts w:hint="eastAsia"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8.牵头负责集团公司及各级子公司上市、资产并购重组等重大资本运作工作，维护集团层面与投资银行类金融机构战略合作关系。</w:t>
            </w:r>
          </w:p>
        </w:tc>
        <w:tc>
          <w:tcPr>
            <w:tcW w:w="3534" w:type="dxa"/>
            <w:tcBorders>
              <w:top w:val="single" w:color="auto" w:sz="4" w:space="0"/>
              <w:tl2br w:val="nil"/>
              <w:tr2bl w:val="nil"/>
            </w:tcBorders>
            <w:shd w:val="clear" w:color="auto" w:fill="auto"/>
            <w:vAlign w:val="center"/>
          </w:tcPr>
          <w:p w14:paraId="24352410">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1.大学本科及以上；5年及以上工作经验，1年及以上管理岗位工作经历，2年及以上本专业/领域相关工作经历；</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2.金融学、经济学、会计学、财务管理等专业优先；</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3.具有银行对公业务或企业融资管理及团队管理经验，主导过大型企业集团授信额度管理及银团贷款项目，具有商业银行公司业务部或投行部工作经验或与国有大行总行级合作经验者优先；</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4.精通银行授信审批全流程及额度管控，熟悉流贷、项目贷、贸易融资等产品，具备银行高层资源维护能力，擅长融资结构优化及流动性管理；</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5.商务谈判能力强，数据敏感度高，注重细节；</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6.持有CFA、CPA、银行从业资格等证书者优先；</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7.中共党员优先。</w:t>
            </w:r>
          </w:p>
        </w:tc>
        <w:tc>
          <w:tcPr>
            <w:tcW w:w="648" w:type="dxa"/>
            <w:tcBorders>
              <w:top w:val="single" w:color="auto" w:sz="4" w:space="0"/>
              <w:tl2br w:val="nil"/>
              <w:tr2bl w:val="nil"/>
            </w:tcBorders>
            <w:shd w:val="clear" w:color="auto" w:fill="auto"/>
            <w:vAlign w:val="center"/>
          </w:tcPr>
          <w:p w14:paraId="2A496B3B">
            <w:pPr>
              <w:jc w:val="center"/>
              <w:rPr>
                <w:rFonts w:hint="default" w:ascii="Times New Roman" w:hAnsi="Times New Roman" w:eastAsia="宋体" w:cs="Times New Roman"/>
                <w:i w:val="0"/>
                <w:iCs w:val="0"/>
                <w:color w:val="000000"/>
                <w:sz w:val="18"/>
                <w:szCs w:val="18"/>
                <w:u w:val="none"/>
              </w:rPr>
            </w:pPr>
          </w:p>
        </w:tc>
      </w:tr>
      <w:tr w14:paraId="1AC6BE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840" w:hRule="atLeast"/>
        </w:trPr>
        <w:tc>
          <w:tcPr>
            <w:tcW w:w="658" w:type="dxa"/>
            <w:tcBorders>
              <w:tl2br w:val="nil"/>
              <w:tr2bl w:val="nil"/>
            </w:tcBorders>
            <w:shd w:val="clear" w:color="auto" w:fill="auto"/>
            <w:noWrap/>
            <w:textDirection w:val="tbRlV"/>
            <w:vAlign w:val="center"/>
          </w:tcPr>
          <w:p w14:paraId="01B7FA60">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法律合规部</w:t>
            </w:r>
          </w:p>
        </w:tc>
        <w:tc>
          <w:tcPr>
            <w:tcW w:w="758" w:type="dxa"/>
            <w:tcBorders>
              <w:tl2br w:val="nil"/>
              <w:tr2bl w:val="nil"/>
            </w:tcBorders>
            <w:shd w:val="clear" w:color="auto" w:fill="auto"/>
            <w:vAlign w:val="center"/>
          </w:tcPr>
          <w:p w14:paraId="375816A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副主任</w:t>
            </w:r>
          </w:p>
        </w:tc>
        <w:tc>
          <w:tcPr>
            <w:tcW w:w="685" w:type="dxa"/>
            <w:tcBorders>
              <w:tl2br w:val="nil"/>
              <w:tr2bl w:val="nil"/>
            </w:tcBorders>
            <w:shd w:val="clear" w:color="auto" w:fill="auto"/>
            <w:vAlign w:val="center"/>
          </w:tcPr>
          <w:p w14:paraId="372D938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6789" w:type="dxa"/>
            <w:tcBorders>
              <w:tl2br w:val="nil"/>
              <w:tr2bl w:val="nil"/>
            </w:tcBorders>
            <w:shd w:val="clear" w:color="auto" w:fill="auto"/>
            <w:vAlign w:val="center"/>
          </w:tcPr>
          <w:p w14:paraId="5CB7F720">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1.负责集团法律事务与合规管理，全面风险管理，内部控制管理及派出董事、监事管理等基本制度的建立与相关工作的研究规划；</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2.负责统筹合规管理工作，参与重大事项的法律合规审查；对重大经营决策与规章制度进行法律审核，并负责合同管理，处理合同审查等合同法律事务；</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3.负责外聘律师管理工作，建立律所供应商库，负责选聘律所并对外聘律师的服务进行监督和评价；</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4.负责统筹法律纠纷案件管理，制定集团重大案件的应对方案并指导和审议各子公司的案件应对方案；</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5.负责法律咨询与法治宣传，参与集团重大经济活动，提供 法律协助、指导并通过法治讲座等形式，推进集团法治建设；</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6.负责统筹全面风险管理工作，并具体负责法律风险管理；负责研究提出风险管理策略和跨职能部门的重大风险管理解决方案；</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7.负责统筹集团管理制度和内部控制体系建设，指导协调各部门、各公司开展制度建设和内部控制管理；</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8.负责派出至二级公司的董事、监事具体履职管理，组织对派出董事、监事履职情况进行检查与评价；</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9.负责知识产权与授权管理，负责集团商标申请、知识产权保护、规范授权流程、审核授权委托书等；</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10.负责对各子公司法律合规，全面风险管理，内控管理以及派出董事、监事管理等工作进行监督、指导和检查。</w:t>
            </w:r>
          </w:p>
        </w:tc>
        <w:tc>
          <w:tcPr>
            <w:tcW w:w="3534" w:type="dxa"/>
            <w:tcBorders>
              <w:tl2br w:val="nil"/>
              <w:tr2bl w:val="nil"/>
            </w:tcBorders>
            <w:shd w:val="clear" w:color="auto" w:fill="auto"/>
            <w:vAlign w:val="center"/>
          </w:tcPr>
          <w:p w14:paraId="4DCDC383">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1.大学本科及以上；5年及以上工作经验，1年及以上管理岗位工作经历，2年及以上本专业/领域相关工作经历；</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2.法学（民商法、经济法、国际商法等方向）专业优先；</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3.具有企业法务、合规管理或律所非诉业务管理及团队管理经验，主导过合同体系搭建、重大商事纠纷案件、企业合规体系建设或并购重组法律尽调或知识产权管理项目，具有司法机关、知名律所或上市公司法务总监经历者优先；</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4.精通企业合规体系搭建、内控流程设计及全类型合同审查及标准化建设，擅长重大经营决策法律风险评估、制度流程合规性审查，具备复杂商事案件诉讼/仲裁实战经验，熟悉上市公司监管规则、国资合规要求、诉讼案件全周期管控及董事监事履职管理规范；</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5.原则性强、具备商业思维与风险平衡能力、具备高层级跨部门协调能力、细致严谨、具备培训宣讲能力；</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6.持有企业法律顾问资格或律师执业证；</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7.中共党员优先。</w:t>
            </w:r>
          </w:p>
        </w:tc>
        <w:tc>
          <w:tcPr>
            <w:tcW w:w="648" w:type="dxa"/>
            <w:tcBorders>
              <w:tl2br w:val="nil"/>
              <w:tr2bl w:val="nil"/>
            </w:tcBorders>
            <w:shd w:val="clear" w:color="auto" w:fill="auto"/>
            <w:vAlign w:val="center"/>
          </w:tcPr>
          <w:p w14:paraId="6A7DB125">
            <w:pPr>
              <w:jc w:val="center"/>
              <w:rPr>
                <w:rFonts w:hint="default" w:ascii="Times New Roman" w:hAnsi="Times New Roman" w:eastAsia="宋体" w:cs="Times New Roman"/>
                <w:i w:val="0"/>
                <w:iCs w:val="0"/>
                <w:color w:val="000000"/>
                <w:sz w:val="18"/>
                <w:szCs w:val="18"/>
                <w:u w:val="none"/>
              </w:rPr>
            </w:pPr>
          </w:p>
        </w:tc>
      </w:tr>
      <w:tr w14:paraId="06D084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0" w:hRule="atLeast"/>
        </w:trPr>
        <w:tc>
          <w:tcPr>
            <w:tcW w:w="658" w:type="dxa"/>
            <w:tcBorders>
              <w:tl2br w:val="nil"/>
              <w:tr2bl w:val="nil"/>
            </w:tcBorders>
            <w:shd w:val="clear" w:color="auto" w:fill="auto"/>
            <w:noWrap/>
            <w:textDirection w:val="tbRlV"/>
            <w:vAlign w:val="center"/>
          </w:tcPr>
          <w:p w14:paraId="7B624DF6">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廊坊临空资产运营管理有限公司</w:t>
            </w:r>
          </w:p>
        </w:tc>
        <w:tc>
          <w:tcPr>
            <w:tcW w:w="758" w:type="dxa"/>
            <w:tcBorders>
              <w:tl2br w:val="nil"/>
              <w:tr2bl w:val="nil"/>
            </w:tcBorders>
            <w:shd w:val="clear" w:color="auto" w:fill="auto"/>
            <w:vAlign w:val="center"/>
          </w:tcPr>
          <w:p w14:paraId="65A919F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副总</w:t>
            </w:r>
          </w:p>
          <w:p w14:paraId="043A945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经理</w:t>
            </w:r>
          </w:p>
        </w:tc>
        <w:tc>
          <w:tcPr>
            <w:tcW w:w="685" w:type="dxa"/>
            <w:tcBorders>
              <w:tl2br w:val="nil"/>
              <w:tr2bl w:val="nil"/>
            </w:tcBorders>
            <w:shd w:val="clear" w:color="auto" w:fill="auto"/>
            <w:vAlign w:val="center"/>
          </w:tcPr>
          <w:p w14:paraId="60B9751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6789" w:type="dxa"/>
            <w:tcBorders>
              <w:tl2br w:val="nil"/>
              <w:tr2bl w:val="nil"/>
            </w:tcBorders>
            <w:shd w:val="clear" w:color="auto" w:fill="auto"/>
            <w:vAlign w:val="center"/>
          </w:tcPr>
          <w:p w14:paraId="75983375">
            <w:pPr>
              <w:keepNext w:val="0"/>
              <w:keepLines w:val="0"/>
              <w:widowControl/>
              <w:numPr>
                <w:ilvl w:val="0"/>
                <w:numId w:val="0"/>
              </w:numPr>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1.</w:t>
            </w:r>
            <w:r>
              <w:rPr>
                <w:rFonts w:hint="default" w:ascii="Times New Roman" w:hAnsi="Times New Roman" w:eastAsia="宋体" w:cs="Times New Roman"/>
                <w:i w:val="0"/>
                <w:iCs w:val="0"/>
                <w:color w:val="000000"/>
                <w:kern w:val="0"/>
                <w:sz w:val="18"/>
                <w:szCs w:val="18"/>
                <w:u w:val="none"/>
                <w:lang w:val="en-US" w:eastAsia="zh-CN" w:bidi="ar"/>
              </w:rPr>
              <w:t>协助总经理开展公司管理工作；</w:t>
            </w:r>
          </w:p>
          <w:p w14:paraId="32A154FA">
            <w:pPr>
              <w:keepNext w:val="0"/>
              <w:keepLines w:val="0"/>
              <w:widowControl/>
              <w:numPr>
                <w:ilvl w:val="0"/>
                <w:numId w:val="0"/>
              </w:numPr>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2.</w:t>
            </w:r>
            <w:r>
              <w:rPr>
                <w:rFonts w:hint="default" w:ascii="Times New Roman" w:hAnsi="Times New Roman" w:eastAsia="宋体" w:cs="Times New Roman"/>
                <w:i w:val="0"/>
                <w:iCs w:val="0"/>
                <w:color w:val="000000"/>
                <w:kern w:val="0"/>
                <w:sz w:val="18"/>
                <w:szCs w:val="18"/>
                <w:u w:val="none"/>
                <w:lang w:val="en-US" w:eastAsia="zh-CN" w:bidi="ar"/>
              </w:rPr>
              <w:t>协助统筹资产运营过程中的各种协调、保障工作；</w:t>
            </w:r>
          </w:p>
          <w:p w14:paraId="67A91CC4">
            <w:pPr>
              <w:keepNext w:val="0"/>
              <w:keepLines w:val="0"/>
              <w:widowControl/>
              <w:numPr>
                <w:ilvl w:val="0"/>
                <w:numId w:val="0"/>
              </w:numPr>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3.</w:t>
            </w:r>
            <w:r>
              <w:rPr>
                <w:rFonts w:hint="default" w:ascii="Times New Roman" w:hAnsi="Times New Roman" w:eastAsia="宋体" w:cs="Times New Roman"/>
                <w:i w:val="0"/>
                <w:iCs w:val="0"/>
                <w:color w:val="000000"/>
                <w:kern w:val="0"/>
                <w:sz w:val="18"/>
                <w:szCs w:val="18"/>
                <w:u w:val="none"/>
                <w:lang w:val="en-US" w:eastAsia="zh-CN" w:bidi="ar"/>
              </w:rPr>
              <w:t>负责集团所有经营性或商业类资产（包括集团自有酒店、场馆、写字楼、底商、住宅、公寓、厂房等）的招商、宣传、租赁等运营管理工作，并经授权后签订有关资产运营服务合同；</w:t>
            </w:r>
          </w:p>
          <w:p w14:paraId="4EFD1D84">
            <w:pPr>
              <w:keepNext w:val="0"/>
              <w:keepLines w:val="0"/>
              <w:widowControl/>
              <w:numPr>
                <w:ilvl w:val="0"/>
                <w:numId w:val="0"/>
              </w:numPr>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4.</w:t>
            </w:r>
            <w:r>
              <w:rPr>
                <w:rFonts w:hint="default" w:ascii="Times New Roman" w:hAnsi="Times New Roman" w:eastAsia="宋体" w:cs="Times New Roman"/>
                <w:i w:val="0"/>
                <w:iCs w:val="0"/>
                <w:color w:val="000000"/>
                <w:kern w:val="0"/>
                <w:sz w:val="18"/>
                <w:szCs w:val="18"/>
                <w:u w:val="none"/>
                <w:lang w:val="en-US" w:eastAsia="zh-CN" w:bidi="ar"/>
              </w:rPr>
              <w:t>负责公司资产项目保值、增值、处置工作；</w:t>
            </w:r>
          </w:p>
          <w:p w14:paraId="6B010E10">
            <w:pPr>
              <w:keepNext w:val="0"/>
              <w:keepLines w:val="0"/>
              <w:widowControl/>
              <w:numPr>
                <w:ilvl w:val="0"/>
                <w:numId w:val="0"/>
              </w:numPr>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5.</w:t>
            </w:r>
            <w:r>
              <w:rPr>
                <w:rFonts w:hint="default" w:ascii="Times New Roman" w:hAnsi="Times New Roman" w:eastAsia="宋体" w:cs="Times New Roman"/>
                <w:i w:val="0"/>
                <w:iCs w:val="0"/>
                <w:color w:val="000000"/>
                <w:kern w:val="0"/>
                <w:sz w:val="18"/>
                <w:szCs w:val="18"/>
                <w:u w:val="none"/>
                <w:lang w:val="en-US" w:eastAsia="zh-CN" w:bidi="ar"/>
              </w:rPr>
              <w:t>对公司招商营运工作进行统筹管理、协调和推进并监督落地情况；</w:t>
            </w:r>
          </w:p>
          <w:p w14:paraId="2BC8A571">
            <w:pPr>
              <w:keepNext w:val="0"/>
              <w:keepLines w:val="0"/>
              <w:widowControl/>
              <w:numPr>
                <w:ilvl w:val="0"/>
                <w:numId w:val="0"/>
              </w:numPr>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6.</w:t>
            </w:r>
            <w:r>
              <w:rPr>
                <w:rFonts w:hint="default" w:ascii="Times New Roman" w:hAnsi="Times New Roman" w:eastAsia="宋体" w:cs="Times New Roman"/>
                <w:i w:val="0"/>
                <w:iCs w:val="0"/>
                <w:color w:val="000000"/>
                <w:kern w:val="0"/>
                <w:sz w:val="18"/>
                <w:szCs w:val="18"/>
                <w:u w:val="none"/>
                <w:lang w:val="en-US" w:eastAsia="zh-CN" w:bidi="ar"/>
              </w:rPr>
              <w:t>负责制订、实施集团商业类资产接收计划、运营策略、损益方案</w:t>
            </w:r>
            <w:r>
              <w:rPr>
                <w:rFonts w:hint="eastAsia" w:ascii="Times New Roman" w:hAnsi="Times New Roman" w:eastAsia="宋体" w:cs="Times New Roman"/>
                <w:i w:val="0"/>
                <w:iCs w:val="0"/>
                <w:color w:val="000000"/>
                <w:kern w:val="0"/>
                <w:sz w:val="18"/>
                <w:szCs w:val="18"/>
                <w:u w:val="none"/>
                <w:lang w:val="en-US" w:eastAsia="zh-CN" w:bidi="ar"/>
              </w:rPr>
              <w:t>；</w:t>
            </w:r>
          </w:p>
          <w:p w14:paraId="76A996E7">
            <w:pPr>
              <w:keepNext w:val="0"/>
              <w:keepLines w:val="0"/>
              <w:widowControl/>
              <w:numPr>
                <w:ilvl w:val="0"/>
                <w:numId w:val="0"/>
              </w:numPr>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7.</w:t>
            </w:r>
            <w:r>
              <w:rPr>
                <w:rFonts w:hint="default" w:ascii="Times New Roman" w:hAnsi="Times New Roman" w:eastAsia="宋体" w:cs="Times New Roman"/>
                <w:i w:val="0"/>
                <w:iCs w:val="0"/>
                <w:color w:val="000000"/>
                <w:kern w:val="0"/>
                <w:sz w:val="18"/>
                <w:szCs w:val="18"/>
                <w:u w:val="none"/>
                <w:lang w:val="en-US" w:eastAsia="zh-CN" w:bidi="ar"/>
              </w:rPr>
              <w:t>负责集团自有写字楼、底商、广告位等商业类资产的招商实施及运营管理的监督工作；</w:t>
            </w:r>
          </w:p>
          <w:p w14:paraId="03184A33">
            <w:pPr>
              <w:keepNext w:val="0"/>
              <w:keepLines w:val="0"/>
              <w:widowControl/>
              <w:numPr>
                <w:ilvl w:val="0"/>
                <w:numId w:val="0"/>
              </w:numPr>
              <w:suppressLineNumbers w:val="0"/>
              <w:jc w:val="left"/>
              <w:textAlignment w:val="center"/>
              <w:rPr>
                <w:rFonts w:hint="default" w:ascii="Times New Roman" w:hAnsi="Times New Roman" w:eastAsia="宋体" w:cs="Times New Roman"/>
                <w:i w:val="0"/>
                <w:iCs w:val="0"/>
                <w:color w:val="000000"/>
                <w:sz w:val="18"/>
                <w:szCs w:val="18"/>
                <w:u w:val="none"/>
              </w:rPr>
            </w:pPr>
            <w:r>
              <w:rPr>
                <w:rFonts w:hint="eastAsia" w:ascii="Times New Roman" w:hAnsi="Times New Roman" w:eastAsia="宋体" w:cs="Times New Roman"/>
                <w:i w:val="0"/>
                <w:iCs w:val="0"/>
                <w:color w:val="000000"/>
                <w:kern w:val="0"/>
                <w:sz w:val="18"/>
                <w:szCs w:val="18"/>
                <w:u w:val="none"/>
                <w:lang w:val="en-US" w:eastAsia="zh-CN" w:bidi="ar"/>
              </w:rPr>
              <w:t>8.</w:t>
            </w:r>
            <w:r>
              <w:rPr>
                <w:rFonts w:hint="default" w:ascii="Times New Roman" w:hAnsi="Times New Roman" w:eastAsia="宋体" w:cs="Times New Roman"/>
                <w:i w:val="0"/>
                <w:iCs w:val="0"/>
                <w:color w:val="000000"/>
                <w:kern w:val="0"/>
                <w:sz w:val="18"/>
                <w:szCs w:val="18"/>
                <w:u w:val="none"/>
                <w:lang w:val="en-US" w:eastAsia="zh-CN" w:bidi="ar"/>
              </w:rPr>
              <w:t>负责统筹对持有资产后续运营的项目定位、规划设计、综合收益测算等工作；</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eastAsia" w:ascii="Times New Roman" w:hAnsi="Times New Roman" w:eastAsia="宋体" w:cs="Times New Roman"/>
                <w:i w:val="0"/>
                <w:iCs w:val="0"/>
                <w:color w:val="000000"/>
                <w:kern w:val="0"/>
                <w:sz w:val="18"/>
                <w:szCs w:val="18"/>
                <w:u w:val="none"/>
                <w:lang w:val="en-US" w:eastAsia="zh-CN" w:bidi="ar"/>
              </w:rPr>
              <w:t>9.</w:t>
            </w:r>
            <w:r>
              <w:rPr>
                <w:rFonts w:hint="default" w:ascii="Times New Roman" w:hAnsi="Times New Roman" w:eastAsia="宋体" w:cs="Times New Roman"/>
                <w:i w:val="0"/>
                <w:iCs w:val="0"/>
                <w:color w:val="000000"/>
                <w:kern w:val="0"/>
                <w:sz w:val="18"/>
                <w:szCs w:val="18"/>
                <w:u w:val="none"/>
                <w:lang w:val="en-US" w:eastAsia="zh-CN" w:bidi="ar"/>
              </w:rPr>
              <w:t>负责监督相关第三方服务公司履行资产运营服务合同，提高资产使用价值、为客户提供满意服务。负责公司业务涉及自有资产及临空区管委会授权范围内的资产确认、资产移交、资产处置及地上物清表等工作；</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eastAsia" w:ascii="Times New Roman" w:hAnsi="Times New Roman" w:eastAsia="宋体" w:cs="Times New Roman"/>
                <w:i w:val="0"/>
                <w:iCs w:val="0"/>
                <w:color w:val="000000"/>
                <w:kern w:val="0"/>
                <w:sz w:val="18"/>
                <w:szCs w:val="18"/>
                <w:u w:val="none"/>
                <w:lang w:val="en-US" w:eastAsia="zh-CN" w:bidi="ar"/>
              </w:rPr>
              <w:t>10</w:t>
            </w:r>
            <w:r>
              <w:rPr>
                <w:rFonts w:hint="default" w:ascii="Times New Roman" w:hAnsi="Times New Roman" w:eastAsia="宋体" w:cs="Times New Roman"/>
                <w:i w:val="0"/>
                <w:iCs w:val="0"/>
                <w:color w:val="000000"/>
                <w:kern w:val="0"/>
                <w:sz w:val="18"/>
                <w:szCs w:val="18"/>
                <w:u w:val="none"/>
                <w:lang w:val="en-US" w:eastAsia="zh-CN" w:bidi="ar"/>
              </w:rPr>
              <w:t>.负责其他与资产运营公司相关的或集团领导交办的工作。</w:t>
            </w:r>
          </w:p>
        </w:tc>
        <w:tc>
          <w:tcPr>
            <w:tcW w:w="3534" w:type="dxa"/>
            <w:tcBorders>
              <w:tl2br w:val="nil"/>
              <w:tr2bl w:val="nil"/>
            </w:tcBorders>
            <w:shd w:val="clear" w:color="auto" w:fill="auto"/>
            <w:vAlign w:val="center"/>
          </w:tcPr>
          <w:p w14:paraId="18FDE208">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1.大学本科及以上；5年及以上工作经验，1年及以上管理岗位工作经历，2年及以上本专业/领域相关工作经历；</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2.房地产经营管理、工商管理、金融学、资产评估等专业优先；</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3.具有商业资产运营或项目管理及团队管理经验，主导过大型商业综合体、产业园区等经营性资产运营项目，具有政府平台公司或国企资产盘活经验者优先；</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4.精通商业地产、公共资源等经营性资产运营模式，熟悉国有资产租赁、处置相关政策，擅长资产收益分析与价值提升，具备运营质量评估与绩效督导能力，熟练运用运营数据分析工具；</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5.市场敏感度高，商业思维突出，原则性强，善于建立标准化运营体系；</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6.持有中级经济师或中级工程师职称及以上、注册资产评估师、房地产估价师等证书者优先；</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7.中共党员优先。</w:t>
            </w:r>
          </w:p>
        </w:tc>
        <w:tc>
          <w:tcPr>
            <w:tcW w:w="648" w:type="dxa"/>
            <w:tcBorders>
              <w:tl2br w:val="nil"/>
              <w:tr2bl w:val="nil"/>
            </w:tcBorders>
            <w:shd w:val="clear" w:color="auto" w:fill="auto"/>
            <w:vAlign w:val="center"/>
          </w:tcPr>
          <w:p w14:paraId="2ECBCAE0">
            <w:pPr>
              <w:jc w:val="center"/>
              <w:rPr>
                <w:rFonts w:hint="default" w:ascii="Times New Roman" w:hAnsi="Times New Roman" w:eastAsia="宋体" w:cs="Times New Roman"/>
                <w:i w:val="0"/>
                <w:iCs w:val="0"/>
                <w:color w:val="000000"/>
                <w:sz w:val="18"/>
                <w:szCs w:val="18"/>
                <w:u w:val="none"/>
              </w:rPr>
            </w:pPr>
          </w:p>
          <w:p w14:paraId="7E67D068">
            <w:pPr>
              <w:jc w:val="center"/>
              <w:rPr>
                <w:rFonts w:hint="default" w:ascii="Times New Roman" w:hAnsi="Times New Roman" w:eastAsia="宋体" w:cs="Times New Roman"/>
                <w:i w:val="0"/>
                <w:iCs w:val="0"/>
                <w:color w:val="000000"/>
                <w:sz w:val="18"/>
                <w:szCs w:val="18"/>
                <w:u w:val="none"/>
              </w:rPr>
            </w:pPr>
          </w:p>
        </w:tc>
      </w:tr>
      <w:tr w14:paraId="14467A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300" w:hRule="atLeast"/>
        </w:trPr>
        <w:tc>
          <w:tcPr>
            <w:tcW w:w="658" w:type="dxa"/>
            <w:tcBorders>
              <w:tl2br w:val="nil"/>
              <w:tr2bl w:val="nil"/>
            </w:tcBorders>
            <w:shd w:val="clear" w:color="auto" w:fill="auto"/>
            <w:noWrap/>
            <w:textDirection w:val="tbRlV"/>
            <w:vAlign w:val="center"/>
          </w:tcPr>
          <w:p w14:paraId="10623FA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廊坊临空城市运营发展有限公司</w:t>
            </w:r>
          </w:p>
        </w:tc>
        <w:tc>
          <w:tcPr>
            <w:tcW w:w="758" w:type="dxa"/>
            <w:tcBorders>
              <w:tl2br w:val="nil"/>
              <w:tr2bl w:val="nil"/>
            </w:tcBorders>
            <w:shd w:val="clear" w:color="auto" w:fill="auto"/>
            <w:vAlign w:val="center"/>
          </w:tcPr>
          <w:p w14:paraId="055433B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总经理</w:t>
            </w:r>
          </w:p>
        </w:tc>
        <w:tc>
          <w:tcPr>
            <w:tcW w:w="685" w:type="dxa"/>
            <w:tcBorders>
              <w:tl2br w:val="nil"/>
              <w:tr2bl w:val="nil"/>
            </w:tcBorders>
            <w:shd w:val="clear" w:color="auto" w:fill="auto"/>
            <w:vAlign w:val="center"/>
          </w:tcPr>
          <w:p w14:paraId="7C64FA6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6789" w:type="dxa"/>
            <w:tcBorders>
              <w:tl2br w:val="nil"/>
              <w:tr2bl w:val="nil"/>
            </w:tcBorders>
            <w:shd w:val="clear" w:color="auto" w:fill="auto"/>
            <w:vAlign w:val="center"/>
          </w:tcPr>
          <w:p w14:paraId="0F34E77D">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1.负责管委会授权的市政道路及附属设施运维养护工作：道路与桥梁年度维修保养方案、计划、预算的编制与报批，维修保养项目的技术管理、现场组织、质量的检查等工作；</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2.负责管委授权的园林绿化运维养护工作:绿化养护日常事务的综合协调与组织落实等工作；</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3.负责综合水务管理、综合能源利用等业务:雨水管网、雨水泵站及配套设施的年度维修保养方案、计划、预算的编制与报批，防汛应急预案的制定与实施，负责组织汛前排水设施的检修、试运行等工作；</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4.负责下属合资公司的管理工作；</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5.负责其他与城市运营公司相关的或集团领导交办的工作。</w:t>
            </w:r>
          </w:p>
        </w:tc>
        <w:tc>
          <w:tcPr>
            <w:tcW w:w="3534" w:type="dxa"/>
            <w:tcBorders>
              <w:tl2br w:val="nil"/>
              <w:tr2bl w:val="nil"/>
            </w:tcBorders>
            <w:shd w:val="clear" w:color="auto" w:fill="auto"/>
            <w:vAlign w:val="center"/>
          </w:tcPr>
          <w:p w14:paraId="617C2B65">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1.大学本科及以上；8年及以上工作经验，2年及以上管理岗位工作经历，5年及以上本专业/领域相关工作经历；</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2.城市规划、市政工程、公共事业管理、交通工程、环境工程等专业优先；</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3.具有城市基础设施运营或公共事业管理及团队管理经验，主导过城市道路、管网、公用事业设施等大型运营项目，具有城投公司或市政公用企业工作经验或有特许经营权管理经验者优先；</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4.精通城市基础设施全周期运营管理，擅长公共资源市场化运营模式设计，具备运营数据分析及智慧化管理能力，熟悉市政公用行业标准及监管要求；</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5.统筹协调能力强，善于政企对接，创新意识突出，能推动运营效率提升；</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6.持有中级经济师或中级工程师职称及以上、注册城市规划师、PMP、建造师等证书者优先；</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7.中共党员优先。</w:t>
            </w:r>
          </w:p>
        </w:tc>
        <w:tc>
          <w:tcPr>
            <w:tcW w:w="648" w:type="dxa"/>
            <w:tcBorders>
              <w:tl2br w:val="nil"/>
              <w:tr2bl w:val="nil"/>
            </w:tcBorders>
            <w:shd w:val="clear" w:color="auto" w:fill="auto"/>
            <w:vAlign w:val="center"/>
          </w:tcPr>
          <w:p w14:paraId="706192BC">
            <w:pPr>
              <w:jc w:val="center"/>
              <w:rPr>
                <w:rFonts w:hint="default" w:ascii="Times New Roman" w:hAnsi="Times New Roman" w:eastAsia="宋体" w:cs="Times New Roman"/>
                <w:i w:val="0"/>
                <w:iCs w:val="0"/>
                <w:color w:val="000000"/>
                <w:sz w:val="18"/>
                <w:szCs w:val="18"/>
                <w:u w:val="none"/>
              </w:rPr>
            </w:pPr>
          </w:p>
        </w:tc>
      </w:tr>
    </w:tbl>
    <w:p w14:paraId="1297C286">
      <w:pPr>
        <w:rPr>
          <w:rFonts w:hint="default" w:ascii="Times New Roman" w:hAnsi="Times New Roman" w:cs="Times New Roman"/>
          <w:lang w:val="en-US" w:eastAsia="zh-CN"/>
        </w:rPr>
      </w:pPr>
    </w:p>
    <w:p w14:paraId="6535F213"/>
    <w:sectPr>
      <w:footerReference r:id="rId3" w:type="default"/>
      <w:pgSz w:w="16838" w:h="11906" w:orient="landscape"/>
      <w:pgMar w:top="1587" w:right="1984" w:bottom="1474" w:left="1701"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34650F">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E96604">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7E96604">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B172DA"/>
    <w:rsid w:val="09230C40"/>
    <w:rsid w:val="18D80C50"/>
    <w:rsid w:val="36F53633"/>
    <w:rsid w:val="49504059"/>
    <w:rsid w:val="68F87311"/>
    <w:rsid w:val="7DE362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3743</Words>
  <Characters>3841</Characters>
  <Lines>0</Lines>
  <Paragraphs>0</Paragraphs>
  <TotalTime>10</TotalTime>
  <ScaleCrop>false</ScaleCrop>
  <LinksUpToDate>false</LinksUpToDate>
  <CharactersWithSpaces>3842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2025-09-12T03:16:00Z</dcterms:created>
  <dc:creator>Administrator</dc:creator>
  <cp:lastModifiedBy>诗和远方</cp:lastModifiedBy>
  <cp:lastPrinted>2025-10-23T08:12:20Z</cp:lastPrinted>
  <dcterms:modified xsi:type="dcterms:W3CDTF">2025-10-23T09:33:56Z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eyJoZGlkIjoiZDA0NzA5MjQ1MTM4M2M0YjU0NGFjZGMyYWE0YzViZWIiLCJ1c2VySWQiOiI1MDM1MTYxNDYifQ==</vt:lpwstr>
  </property>
  <property fmtid="{D5CDD505-2E9C-101B-9397-08002B2CF9AE}" pid="4" name="ICV">
    <vt:lpwstr>1AEBD145CC48431FAD97507C06946C67_12</vt:lpwstr>
  </property>
</Properties>
</file>