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F871B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Style w:val="9"/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</w:rPr>
        <w:t>附件：</w:t>
      </w:r>
    </w:p>
    <w:p w14:paraId="0C425382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Style w:val="9"/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Style w:val="9"/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</w:rPr>
        <w:t>广元市昭化区2025年公开引进高层次和急需紧缺专业人才岗位条件一览表</w:t>
      </w:r>
    </w:p>
    <w:tbl>
      <w:tblPr>
        <w:tblStyle w:val="7"/>
        <w:tblW w:w="14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3"/>
        <w:gridCol w:w="1375"/>
        <w:gridCol w:w="1337"/>
        <w:gridCol w:w="1037"/>
        <w:gridCol w:w="2538"/>
        <w:gridCol w:w="1282"/>
        <w:gridCol w:w="763"/>
        <w:gridCol w:w="1296"/>
        <w:gridCol w:w="886"/>
        <w:gridCol w:w="1145"/>
        <w:gridCol w:w="682"/>
        <w:gridCol w:w="1146"/>
        <w:gridCol w:w="658"/>
      </w:tblGrid>
      <w:tr w14:paraId="7008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6CE24F52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岗位编码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7396B243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主管部门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5E76E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引进单位名称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06B7B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岗位类别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16B42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所需专业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65275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学历</w:t>
            </w:r>
          </w:p>
          <w:p w14:paraId="308A1A15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5D75E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引进数量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A4F8A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年龄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CB587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 w:bidi="ar-SA"/>
              </w:rPr>
              <w:t>职（执）业资格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F6B01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 w:bidi="ar-SA"/>
              </w:rPr>
              <w:t>其他要求</w:t>
            </w:r>
          </w:p>
        </w:tc>
        <w:tc>
          <w:tcPr>
            <w:tcW w:w="682" w:type="dxa"/>
            <w:noWrap w:val="0"/>
            <w:vAlign w:val="center"/>
          </w:tcPr>
          <w:p w14:paraId="390661F9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bidi="ar-SA"/>
              </w:rPr>
              <w:t>是否组织专业能力测试</w:t>
            </w:r>
          </w:p>
        </w:tc>
        <w:tc>
          <w:tcPr>
            <w:tcW w:w="1146" w:type="dxa"/>
            <w:noWrap w:val="0"/>
            <w:vAlign w:val="center"/>
          </w:tcPr>
          <w:p w14:paraId="125486DD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bidi="ar-SA"/>
              </w:rPr>
              <w:t>考生咨询电话</w:t>
            </w:r>
          </w:p>
        </w:tc>
        <w:tc>
          <w:tcPr>
            <w:tcW w:w="658" w:type="dxa"/>
            <w:noWrap w:val="0"/>
            <w:vAlign w:val="center"/>
          </w:tcPr>
          <w:p w14:paraId="1238CCBC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 w:bidi="ar-SA"/>
              </w:rPr>
              <w:t>备注</w:t>
            </w:r>
          </w:p>
        </w:tc>
      </w:tr>
      <w:tr w14:paraId="76D0C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0EE7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256001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3568E145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广元市昭化区各相关部门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DECBF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广元市昭化区各相关部门下属事业单位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18252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专业技术岗位十级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5D166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家居建材、食品饮料、新型材料、清洁能源、医药健康、现代农业等领域相关专业。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3BBFE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研究生学历，并取得博士学位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3AEE7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1CCD9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38周岁及以下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38F70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A2FBE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682" w:type="dxa"/>
            <w:noWrap w:val="0"/>
            <w:vAlign w:val="center"/>
          </w:tcPr>
          <w:p w14:paraId="15536940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018C3BEF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3982E1F3"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0A3E3DF4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z w:val="18"/>
                <w:szCs w:val="18"/>
                <w:lang w:val="en-US" w:eastAsia="zh-CN" w:bidi="ar-SA"/>
              </w:rPr>
            </w:pPr>
          </w:p>
        </w:tc>
      </w:tr>
      <w:tr w14:paraId="10C13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1" w:hRule="atLeast"/>
          <w:jc w:val="center"/>
        </w:trPr>
        <w:tc>
          <w:tcPr>
            <w:tcW w:w="71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3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256002</w:t>
            </w:r>
          </w:p>
        </w:tc>
        <w:tc>
          <w:tcPr>
            <w:tcW w:w="137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510BA7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中共广元市昭化区委政法委/广元市昭化区人力资源和社会保障局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EC145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广元市昭化区社会治安综合治理中心/广元市昭化区劳动人事争议仲裁院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A26D0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管理岗位九级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7D650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法学0301、法律0351。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82F9F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研究生学历，并取得硕士及以上学位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D1FD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394F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38周岁及以下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584CD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FD20A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val="en-US" w:eastAsia="zh-CN" w:bidi="ar-SA"/>
              </w:rPr>
              <w:t>男女各1名</w:t>
            </w:r>
          </w:p>
        </w:tc>
        <w:tc>
          <w:tcPr>
            <w:tcW w:w="682" w:type="dxa"/>
            <w:noWrap w:val="0"/>
            <w:vAlign w:val="center"/>
          </w:tcPr>
          <w:p w14:paraId="7E9D9B6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7D96C070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2CD3433E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7DD9530E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14:paraId="43CD2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71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1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256003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8D2C847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中共广元市昭化区委组织部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E50C7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广元市昭化区直属机关党建事务中心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E08EA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管理岗位九级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DF6B9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中国语言文学0501、新闻传播学0503、公共管理学1204。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7F721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研究生学历，并取得硕士及以上学位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FF130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8D9B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38周岁及以下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45FF7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CF9BE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val="en-US" w:eastAsia="zh-CN" w:bidi="ar-SA"/>
              </w:rPr>
              <w:t>男女各1名</w:t>
            </w:r>
          </w:p>
        </w:tc>
        <w:tc>
          <w:tcPr>
            <w:tcW w:w="682" w:type="dxa"/>
            <w:noWrap w:val="0"/>
            <w:vAlign w:val="center"/>
          </w:tcPr>
          <w:p w14:paraId="67E75FAB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6D922EC0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74301810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1E335D2C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14:paraId="49467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08FA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256004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7C6221E0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广元市昭化区发展和改革局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74E0D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广元市昭化区经济信息中心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30998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专业技术岗位十二级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0D3CA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应用经济学0202、理论经济学0201。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2EA40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研究生学历，并取得硕士及以上学位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0953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A3C59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38周岁及以下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A15B9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25B3F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val="en-US" w:eastAsia="zh-CN" w:bidi="ar-SA"/>
              </w:rPr>
              <w:t>男女各1名</w:t>
            </w:r>
          </w:p>
        </w:tc>
        <w:tc>
          <w:tcPr>
            <w:tcW w:w="682" w:type="dxa"/>
            <w:noWrap w:val="0"/>
            <w:vAlign w:val="center"/>
          </w:tcPr>
          <w:p w14:paraId="6832C46A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360AD222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0D94AF98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3E1901FB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14:paraId="12533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32A8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256005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3963B0A6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广元市昭化区经济信息化和科学技术局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087A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广元市昭化区中小企业创新创业服务中心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E9B2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管理岗位九级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37504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应用经济学0202、机械工程0802、电子科学与技术0809。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7C9DB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研究生学历，并取得硕士及以上学位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798BA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54C3D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38周岁及以下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0F39C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390E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val="en-US" w:eastAsia="zh-CN" w:bidi="ar-SA"/>
              </w:rPr>
              <w:t>男女各1名</w:t>
            </w:r>
          </w:p>
        </w:tc>
        <w:tc>
          <w:tcPr>
            <w:tcW w:w="682" w:type="dxa"/>
            <w:noWrap w:val="0"/>
            <w:vAlign w:val="center"/>
          </w:tcPr>
          <w:p w14:paraId="381AB67B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4D939AA4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0EF4F005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1580B3F8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14:paraId="0BD38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779C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256006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4A5F9E1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广元市昭化区财政局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3ECCB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广元市昭化区财政绩效事务中心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443A6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管理岗位九级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3DE56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工商管理学1202、应用经济学0202、会计1253。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6556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研究生学历，并取得硕士及以上学位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29CC2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A62A7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38周岁及以下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0C8F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1250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682" w:type="dxa"/>
            <w:noWrap w:val="0"/>
            <w:vAlign w:val="center"/>
          </w:tcPr>
          <w:p w14:paraId="0641F36D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7D8A82DA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4470F4E5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785CA576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14:paraId="77191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6755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256007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103C825A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广元市昭化区住房和城乡建设局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2B766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广元市昭化区建设工程质量安全和燃气消防服务中心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DAB9D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专业技术岗位十二级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7D396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本科：自动化080801、给排水科学与工程081003、人居环境科学与技术082805T；</w:t>
            </w:r>
          </w:p>
          <w:p w14:paraId="0648483B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研究生：建筑学0813、土木水利0859、工程管理1256。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D9FE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本科及以上学历，并取得学士及以上学位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067C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E05AA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38周岁及以下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8C197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FC641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682" w:type="dxa"/>
            <w:noWrap w:val="0"/>
            <w:vAlign w:val="center"/>
          </w:tcPr>
          <w:p w14:paraId="72C16F91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0C712FE2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1CA284B9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488FFDFA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eastAsia="zh-CN" w:bidi="ar-SA"/>
              </w:rPr>
              <w:t>需笔试</w:t>
            </w:r>
          </w:p>
        </w:tc>
      </w:tr>
      <w:tr w14:paraId="2F4B4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551C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256008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02CD4EC2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18"/>
                <w:szCs w:val="18"/>
                <w:lang w:val="en-US" w:eastAsia="zh-CN" w:bidi="ar-SA"/>
              </w:rPr>
              <w:t>广元市昭化区水利局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1B9FF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18"/>
                <w:szCs w:val="18"/>
                <w:lang w:val="en-US" w:eastAsia="zh-CN" w:bidi="ar-SA"/>
              </w:rPr>
              <w:t>广元市昭化区小一型水库事务中心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09E50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专业技术岗位十二级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3E096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土木水利0859、化学工程与技术0817、水利工程0815。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72C1D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研究生学历，并取得硕士及以上学位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7001E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B48C9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38周岁及以下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BC98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868DD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val="en-US" w:eastAsia="zh-CN" w:bidi="ar-SA"/>
              </w:rPr>
              <w:t>男女各1名</w:t>
            </w:r>
          </w:p>
        </w:tc>
        <w:tc>
          <w:tcPr>
            <w:tcW w:w="682" w:type="dxa"/>
            <w:noWrap w:val="0"/>
            <w:vAlign w:val="center"/>
          </w:tcPr>
          <w:p w14:paraId="33BDA667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259616DD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4D4DF52A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15574D79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14:paraId="4008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3694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256009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04B4F866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广元市昭化区农业农村局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F883B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广元市昭化区特色农业产业发展中心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3FB9B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专业技术岗位十二级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A875D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植物学071001、果树学090201、农艺与种业095131。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A3508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研究生学历，并取得硕士及以上学位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8D1EC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14128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38周岁及以下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C961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1CF4B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682" w:type="dxa"/>
            <w:noWrap w:val="0"/>
            <w:vAlign w:val="center"/>
          </w:tcPr>
          <w:p w14:paraId="5513A3CF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7241D32F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7F5C20FB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7449924D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14:paraId="0761C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6254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2560010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7BF9A082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广元市昭化区农业农村局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0FC4B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广元市昭化区畜牧产业服务中心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F682E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专业技术岗位十二级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E97DF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畜牧学0905、畜牧095133、兽医学0906、兽医0952。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79DBB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研究生学历，并取得硕士及以上学位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8BC9D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8060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38周岁及以下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67F3C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2EBB2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682" w:type="dxa"/>
            <w:noWrap w:val="0"/>
            <w:vAlign w:val="center"/>
          </w:tcPr>
          <w:p w14:paraId="2ABB1DC0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40534B22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4F0751E9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6539A7F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14:paraId="4D23B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48D8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2560011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61F7921D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广元市昭化区林业局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D4CF1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四川翠云廊古柏自然保护区昭化保护站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A7451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专业技术岗位十二级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2F9C9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林业0954、林学0907。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087C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研究生学历，并取得硕士及以上学位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9DF48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DF796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38周岁及以下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AC647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8F60B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682" w:type="dxa"/>
            <w:noWrap w:val="0"/>
            <w:vAlign w:val="center"/>
          </w:tcPr>
          <w:p w14:paraId="369DDD1C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4B6C6523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1762CD47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49EB9915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14:paraId="7E2FD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65AE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2560012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014C2292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广元市昭化区商务和经济合作局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535F1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广元市昭化区商务服务中心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1788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管理岗位九级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C14DA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应用经济学0202、统计学0270、应用统计0252、国际商务0254、电子商务1201Z1、电子商务1202Z2。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65E7C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研究生学历，并取得硕士及以上学位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757F9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18026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38周岁及以下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A7076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BB672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682" w:type="dxa"/>
            <w:noWrap w:val="0"/>
            <w:vAlign w:val="center"/>
          </w:tcPr>
          <w:p w14:paraId="3151886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2B2D420C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30CF3E9E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21E7B451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14:paraId="6B803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614E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2560013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4CB768FF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广元市昭化区应急管理局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E1E79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广元市昭化区防灾减灾应急指挥保障中心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429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管理岗位九级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1B299">
            <w:pPr>
              <w:spacing w:line="240" w:lineRule="exact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应急管理1204Z1、应急管理1204Z2、应急管理1204Z3、应急管理1204Z5、林业工程0829、林学0907、林业0954、地理学0705、大气科学0706、地球物理学0708、电子科学与技术0809、信息与通信工程0810、测绘科学与技术0816、地质资源与地质工程0818、土木工程0814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30000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研究生学历，并取得硕士及以上学位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899E0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C4B15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38周岁及以下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8623D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59717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682" w:type="dxa"/>
            <w:noWrap w:val="0"/>
            <w:vAlign w:val="center"/>
          </w:tcPr>
          <w:p w14:paraId="207E89E8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68B161B5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2F0AEAD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5C3C564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14:paraId="2230E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47A2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2560014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753A8E66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广元市昭化区市场监督管理局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F2F72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广元市昭化区市场监督信息中心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52F8F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管理岗位九级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86DAC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机械工程0802、仪器科学与技术0804、法律0351、法学0301、食品科学与工程0832、食品科学与工程0972、药学1007、药学0780。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AB34B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研究生学历，并取得硕士及以上学位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91639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F9112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38周岁及以下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6E7F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3FAD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682" w:type="dxa"/>
            <w:noWrap w:val="0"/>
            <w:vAlign w:val="center"/>
          </w:tcPr>
          <w:p w14:paraId="5F18568D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67165AFB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6FFBEA1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17DAC942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14:paraId="2899E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43AE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2560015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3E0B23C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四川广元昭化经济开发区管理委员会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8EDE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四川广元昭化经济开发区规划投资服务中心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49E6E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专业技术岗位十二级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FD2A1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本科：工程管理120103、工程造价120105、生物工程083001、环境工程082502；</w:t>
            </w:r>
          </w:p>
          <w:p w14:paraId="3325EDD0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研究生：工程管理1256、生物工程0836、环境科学与工程0776。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06D5E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本科及以上学历，并取得学士及以上学位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BCB51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324B8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38周岁及以下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EEA10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18B92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682" w:type="dxa"/>
            <w:noWrap w:val="0"/>
            <w:vAlign w:val="center"/>
          </w:tcPr>
          <w:p w14:paraId="7106464C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7FF05836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23033701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449D8E49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eastAsia="zh-CN" w:bidi="ar-SA"/>
              </w:rPr>
              <w:t>需笔试</w:t>
            </w:r>
          </w:p>
        </w:tc>
      </w:tr>
      <w:tr w14:paraId="40999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77E5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2560016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0D5CC821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广元市昭化区教育局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D8CBD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广元市元坝中学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041DF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专业技术岗位十二级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D12BD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学科教学（语文）045103。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669EE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研究生学历，并取得硕士及以上学位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792F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3A7CA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38周岁及以下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C31A1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eastAsia="zh-CN" w:bidi="ar-SA"/>
              </w:rPr>
              <w:t>具有相应教师资格证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42D0C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682" w:type="dxa"/>
            <w:noWrap w:val="0"/>
            <w:vAlign w:val="center"/>
          </w:tcPr>
          <w:p w14:paraId="0D6D5148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5CE8777D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1BFAF967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67AF995B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14:paraId="378A7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2CAF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2560017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22EB89F6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广元市昭化区教育局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73EE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广元市元坝中学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896E6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专业技术岗位十二级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E46F1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学科教学（数学）045104。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E25D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研究生学历，并取得硕士及以上学位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5517A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63445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38周岁及以下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2F5DE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eastAsia="zh-CN" w:bidi="ar-SA"/>
              </w:rPr>
              <w:t>具有相应教师资格证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E344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682" w:type="dxa"/>
            <w:noWrap w:val="0"/>
            <w:vAlign w:val="center"/>
          </w:tcPr>
          <w:p w14:paraId="15C45B65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13CEAD89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4D10B71D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4B9174BD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14:paraId="289A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7831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2560018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3ACC9DF2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广元市昭化区教育局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A9CC8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广元市元坝中学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9D7FE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专业技术岗位十二级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0AE03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学科教学（英语）045108。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617AA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研究生学历，并取得硕士及以上学位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BC49F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A0A7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38周岁及以下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3AB9C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eastAsia="zh-CN" w:bidi="ar-SA"/>
              </w:rPr>
              <w:t>具有相应教师资格证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BBA6E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682" w:type="dxa"/>
            <w:noWrap w:val="0"/>
            <w:vAlign w:val="center"/>
          </w:tcPr>
          <w:p w14:paraId="5E6096B6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50561B82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171C447E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279D0D19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14:paraId="7FEA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5C3B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2560019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74560FF8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广元市昭化区教育局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E30C7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广元市元坝中学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B3E06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专业技术岗位十二级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45DDE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学科教学（物理）045105。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FDB19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研究生学历，并取得硕士及以上学位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557AA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E07BA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38周岁及以下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5C89E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eastAsia="zh-CN" w:bidi="ar-SA"/>
              </w:rPr>
              <w:t>具有相应教师资格证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2FE7E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val="en-US" w:eastAsia="zh-CN" w:bidi="ar-SA"/>
              </w:rPr>
              <w:t>男女各1名</w:t>
            </w:r>
          </w:p>
        </w:tc>
        <w:tc>
          <w:tcPr>
            <w:tcW w:w="682" w:type="dxa"/>
            <w:noWrap w:val="0"/>
            <w:vAlign w:val="center"/>
          </w:tcPr>
          <w:p w14:paraId="38A5BFF5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3BC63D9B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319833C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3A043A05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14:paraId="36F28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37A4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2560020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07A369C7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广元市昭化区教育局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16B8D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广元市元坝中学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EB880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专业技术岗位十二级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7595D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学科教学（生物）045107。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0350B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研究生学历，并取得硕士及以上学位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D0BF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1A70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38周岁及以下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F5260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eastAsia="zh-CN" w:bidi="ar-SA"/>
              </w:rPr>
              <w:t>具有相应教师资格证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B2552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682" w:type="dxa"/>
            <w:noWrap w:val="0"/>
            <w:vAlign w:val="center"/>
          </w:tcPr>
          <w:p w14:paraId="3209A6A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26A58762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7437F79F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06E3FB8C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14:paraId="428DC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3F5A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2560021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710EC2F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广元市昭化区教育局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A921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广元市元坝中学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138B9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专业技术岗位十二级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36A54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舞蹈1353。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70F30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研究生学历，并取得硕士及以上学位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1406E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F5709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38周岁及以下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67730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eastAsia="zh-CN" w:bidi="ar-SA"/>
              </w:rPr>
              <w:t>具有相应教师资格证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D7A16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682" w:type="dxa"/>
            <w:noWrap w:val="0"/>
            <w:vAlign w:val="center"/>
          </w:tcPr>
          <w:p w14:paraId="041A8DC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是</w:t>
            </w:r>
          </w:p>
        </w:tc>
        <w:tc>
          <w:tcPr>
            <w:tcW w:w="1146" w:type="dxa"/>
            <w:noWrap w:val="0"/>
            <w:vAlign w:val="center"/>
          </w:tcPr>
          <w:p w14:paraId="30C18B34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570484EF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595A8CBF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14:paraId="7D3D1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6698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2560022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26F66120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广元市昭化区教育局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5D187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广元市元坝中学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31655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专业技术岗位十二级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8A740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学科教学（音乐）045111。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9C6A9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研究生学历，并取得硕士及以上学位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C899B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FB398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38周岁及以下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50967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eastAsia="zh-CN" w:bidi="ar-SA"/>
              </w:rPr>
              <w:t>具有相应教师资格证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D5158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682" w:type="dxa"/>
            <w:noWrap w:val="0"/>
            <w:vAlign w:val="center"/>
          </w:tcPr>
          <w:p w14:paraId="6B93409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是</w:t>
            </w:r>
          </w:p>
        </w:tc>
        <w:tc>
          <w:tcPr>
            <w:tcW w:w="1146" w:type="dxa"/>
            <w:noWrap w:val="0"/>
            <w:vAlign w:val="center"/>
          </w:tcPr>
          <w:p w14:paraId="7650EBED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5FF68D7C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4A8C3855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14:paraId="1626F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69AA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2560023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16FA906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广元市昭化区教育局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92C22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广元市昭化区职业高级中学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BA5F6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专业技术岗位十二级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9088A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学科教学（地理）045110。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CF18E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研究生学历，并取得硕士及以上学位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387A8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2D941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38周岁及以下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0219E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eastAsia="zh-CN" w:bidi="ar-SA"/>
              </w:rPr>
              <w:t>具有相应教师资格证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41CA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682" w:type="dxa"/>
            <w:noWrap w:val="0"/>
            <w:vAlign w:val="center"/>
          </w:tcPr>
          <w:p w14:paraId="4F1B8FDD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7684864B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16398F11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78A8A09C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14:paraId="1192C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2ACD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2560024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0A863CDF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广元市昭化区教育局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4C031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广元市昭化区职业高级中学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67D5A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专业技术岗位十二级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AC259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学科教学（物理）045105。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9BBAF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研究生学历，并取得硕士及以上学位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CEE1D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A8B96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38周岁及以下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C3D7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eastAsia="zh-CN" w:bidi="ar-SA"/>
              </w:rPr>
              <w:t>具有相应教师资格证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244B8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682" w:type="dxa"/>
            <w:noWrap w:val="0"/>
            <w:vAlign w:val="center"/>
          </w:tcPr>
          <w:p w14:paraId="277559C2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33015EA2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7BB999A0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0C7C4776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14:paraId="5965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3B41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2560025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0F007EB1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广元市昭化区教育局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3C671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广元市昭化区职业高级中学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1B0A6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专业技术岗位十二级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039DB">
            <w:pPr>
              <w:spacing w:line="240" w:lineRule="exact"/>
              <w:jc w:val="left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本科：针灸推拿学100502K、中医康复学100510TK、中医养生学100511TK、康复治疗学101005、康复物理治疗101009T、康复作业治疗101010T、护理学101101K、健康服务与管理120410T、养老服务管理120414T；</w:t>
            </w:r>
          </w:p>
          <w:p w14:paraId="6C3313AB">
            <w:pPr>
              <w:spacing w:line="240" w:lineRule="exact"/>
              <w:jc w:val="left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研究生：护理学1011、护理1054。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2B4F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本科及以上学历，并取得学士及以上学位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24280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BB1AA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38周岁及以下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151D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  <w:highlight w:val="none"/>
                <w:lang w:eastAsia="zh-CN" w:bidi="ar-SA"/>
              </w:rPr>
              <w:t>相应教师资格和</w:t>
            </w: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  <w:highlight w:val="none"/>
                <w:lang w:bidi="ar-SA"/>
              </w:rPr>
              <w:t>从业资格证或相关专业技能等级证</w:t>
            </w:r>
            <w:r>
              <w:rPr>
                <w:rFonts w:hint="eastAsia" w:ascii="仿宋_GB2312" w:eastAsia="仿宋_GB2312" w:cs="仿宋_GB2312"/>
                <w:b/>
                <w:bCs/>
                <w:sz w:val="18"/>
                <w:szCs w:val="18"/>
                <w:highlight w:val="none"/>
                <w:lang w:eastAsia="zh-CN" w:bidi="ar-SA"/>
              </w:rPr>
              <w:t>须在试用期内取得，否则解聘；未取得教师资格证前安排在教学辅助岗位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6A89D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682" w:type="dxa"/>
            <w:noWrap w:val="0"/>
            <w:vAlign w:val="center"/>
          </w:tcPr>
          <w:p w14:paraId="2875292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是</w:t>
            </w:r>
          </w:p>
        </w:tc>
        <w:tc>
          <w:tcPr>
            <w:tcW w:w="1146" w:type="dxa"/>
            <w:noWrap w:val="0"/>
            <w:vAlign w:val="center"/>
          </w:tcPr>
          <w:p w14:paraId="7CDE67B9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6C5CF82A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7CAF8D8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eastAsia="zh-CN" w:bidi="ar-SA"/>
              </w:rPr>
              <w:t>需笔试</w:t>
            </w:r>
          </w:p>
        </w:tc>
      </w:tr>
      <w:tr w14:paraId="25E0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6C74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2560026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2462148D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广元市昭化区教育局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42A10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广元民盟烛光初级中学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4865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专业技术岗位十二级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57559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学科教学（数学）045104。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A0901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研究生学历，并取得硕士及以上学位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52731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5DDAE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38周岁及以下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CEC47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eastAsia="zh-CN" w:bidi="ar-SA"/>
              </w:rPr>
              <w:t>具有相应教师资格证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9FDDC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682" w:type="dxa"/>
            <w:noWrap w:val="0"/>
            <w:vAlign w:val="center"/>
          </w:tcPr>
          <w:p w14:paraId="70CF1758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0452AB46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61E6C636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3E188197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14:paraId="33C2F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2752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2560027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3F1C8C08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广元市昭化区教育局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C557B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广元民盟烛光初级中学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A1DC0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专业技术岗位十二级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EE2F7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学科教学（物理）045105。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E675A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研究生学历，并取得硕士及以上学位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1EBCE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910A9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38周岁及以下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D33BA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eastAsia="zh-CN" w:bidi="ar-SA"/>
              </w:rPr>
              <w:t>具有相应教师资格证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55852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682" w:type="dxa"/>
            <w:noWrap w:val="0"/>
            <w:vAlign w:val="center"/>
          </w:tcPr>
          <w:p w14:paraId="7AED73A1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59BC7A35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3224BE9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33DA26B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14:paraId="70101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0009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2560028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1D942AB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广元市昭化区教育局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7834C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广元民盟烛光初级中学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2E9EF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专业技术岗位十二级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44D09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学科教学（生物）045107。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B9CBC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研究生学历，并取得硕士及以上学位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305CA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29036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38周岁及以下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9F326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eastAsia="zh-CN" w:bidi="ar-SA"/>
              </w:rPr>
              <w:t>具有相应教师资格证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D722B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682" w:type="dxa"/>
            <w:noWrap w:val="0"/>
            <w:vAlign w:val="center"/>
          </w:tcPr>
          <w:p w14:paraId="31756587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1FC785E1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166E6F30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2D7DAB8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14:paraId="40A49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5D69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2560029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1F4BA15B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广元市昭化区教育局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BC626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广元民盟烛光初级中学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89FB1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专业技术岗位十二级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3E672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学科教学（地理）045110。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FA34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研究生学历，并取得硕士及以上学位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3C67B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83340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38周岁及以下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74DE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eastAsia="zh-CN" w:bidi="ar-SA"/>
              </w:rPr>
              <w:t>具有相应教师资格证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FF017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682" w:type="dxa"/>
            <w:noWrap w:val="0"/>
            <w:vAlign w:val="center"/>
          </w:tcPr>
          <w:p w14:paraId="01D0FE01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70225D97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52C8EB3E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374A72FA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14:paraId="46C6E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3C7B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2560030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78E9254D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广元市昭化区教育局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29A5C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广元市昭化区教师发展中心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5ED4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专业技术岗位十二级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BA956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汉语言文字学050103、新闻学050301。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5D389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研究生学历，并取得硕士及以上学位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B0786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688A9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38周岁及以下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AE6BC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eastAsia="zh-CN" w:bidi="ar-SA"/>
              </w:rPr>
              <w:t>具有相应教师资格证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A1269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val="en-US" w:eastAsia="zh-CN" w:bidi="ar-SA"/>
              </w:rPr>
              <w:t>男女各1名</w:t>
            </w:r>
          </w:p>
        </w:tc>
        <w:tc>
          <w:tcPr>
            <w:tcW w:w="682" w:type="dxa"/>
            <w:noWrap w:val="0"/>
            <w:vAlign w:val="center"/>
          </w:tcPr>
          <w:p w14:paraId="39314F9B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73A24553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064099F5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7A3E1C77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14:paraId="61E65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8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683D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2560031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3C58434B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广元市昭化区教育局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889C7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广元市昭化区教师发展中心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A881E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专业技术岗位十二级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C0168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本科：计算机科学与技术080901、教育技术学040104、软件工程080902；</w:t>
            </w:r>
          </w:p>
          <w:p w14:paraId="08C770B3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研究生：计算机科学与技术0812、教育技术学040110、现代教育技术045114。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9CDAA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本科及以上学历，并取得学士及以上学位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D2F2D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31702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38周岁及以下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3570A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eastAsia="zh-CN" w:bidi="ar-SA"/>
              </w:rPr>
              <w:t>具有相应教师资格证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C0DC2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</w:p>
        </w:tc>
        <w:tc>
          <w:tcPr>
            <w:tcW w:w="682" w:type="dxa"/>
            <w:noWrap w:val="0"/>
            <w:vAlign w:val="center"/>
          </w:tcPr>
          <w:p w14:paraId="43AD0257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是</w:t>
            </w:r>
          </w:p>
        </w:tc>
        <w:tc>
          <w:tcPr>
            <w:tcW w:w="1146" w:type="dxa"/>
            <w:noWrap w:val="0"/>
            <w:vAlign w:val="center"/>
          </w:tcPr>
          <w:p w14:paraId="555EAF28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6624D61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3D6984CC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eastAsia="zh-CN" w:bidi="ar-SA"/>
              </w:rPr>
              <w:t>需笔试</w:t>
            </w:r>
          </w:p>
        </w:tc>
      </w:tr>
      <w:tr w14:paraId="0A5DA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08E5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2560032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0FC88D75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广元市昭化区教育局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15FD0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广元市昭化区教师发展中心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22765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专业技术岗位十二级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20B8B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学科教学（化学）045106。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47E47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研究生学历，并取得硕士及以上学位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D6680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E7917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38周岁及以下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A8C15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eastAsia="zh-CN" w:bidi="ar-SA"/>
              </w:rPr>
              <w:t>具有相应教师资格证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78888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val="en-US" w:eastAsia="zh-CN" w:bidi="ar-SA"/>
              </w:rPr>
              <w:t>男女各1名</w:t>
            </w:r>
          </w:p>
        </w:tc>
        <w:tc>
          <w:tcPr>
            <w:tcW w:w="682" w:type="dxa"/>
            <w:noWrap w:val="0"/>
            <w:vAlign w:val="center"/>
          </w:tcPr>
          <w:p w14:paraId="7CFB5C6F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6D99AEAD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071D36C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4EEFE346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元坝中学和昭化职中各1人</w:t>
            </w:r>
          </w:p>
        </w:tc>
      </w:tr>
      <w:tr w14:paraId="36938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8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21CA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2560033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5A2E397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广元市昭化区教育局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DE5A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广元市昭化区教师发展中心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A25C9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专业技术岗位十二级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C9F81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本科：会计学120203K、财务管理120204；</w:t>
            </w:r>
          </w:p>
          <w:p w14:paraId="0A7F8EDF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研究生：会计学120201、会计1253。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5B3BC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本科及以上学历，并取得学士及以上学位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8D67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A9489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38周岁及以下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C6B3F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  <w:t>相应教师资格证或相关职业资格证须在试用期内取得，否则解聘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F3B3B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val="en-US" w:eastAsia="zh-CN" w:bidi="ar-SA"/>
              </w:rPr>
              <w:t>男女各1名</w:t>
            </w:r>
          </w:p>
        </w:tc>
        <w:tc>
          <w:tcPr>
            <w:tcW w:w="682" w:type="dxa"/>
            <w:noWrap w:val="0"/>
            <w:vAlign w:val="center"/>
          </w:tcPr>
          <w:p w14:paraId="7B02AE8F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507A32B8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1CD20C2C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7A0FED67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eastAsia="zh-CN" w:bidi="ar-SA"/>
              </w:rPr>
              <w:t>需笔试</w:t>
            </w:r>
          </w:p>
        </w:tc>
      </w:tr>
      <w:tr w14:paraId="1FC7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646A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2560034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1FB39582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广元市昭化区卫生健康局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F35FE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广元市昭化区人民医院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70929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专业技术岗位十级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53128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临床医学1002、超声医学105124。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E3471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研究生学历，并取得硕士及以上学位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9425B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C5550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硕士38周岁及以下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博士40周岁及以下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4B3CC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eastAsia="zh-CN" w:bidi="ar-SA"/>
              </w:rPr>
              <w:t>主治医师及以上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BF0D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5"/>
                <w:szCs w:val="15"/>
                <w:lang w:val="en-US" w:eastAsia="zh-CN" w:bidi="ar-SA"/>
              </w:rPr>
              <w:t>注册到超声波医学/医学影像及放射治疗专业；从事超声诊断工作</w:t>
            </w:r>
          </w:p>
        </w:tc>
        <w:tc>
          <w:tcPr>
            <w:tcW w:w="682" w:type="dxa"/>
            <w:noWrap w:val="0"/>
            <w:vAlign w:val="center"/>
          </w:tcPr>
          <w:p w14:paraId="24643EE6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764BC43D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7345747F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20457018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14:paraId="0B3A5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5085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2560035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52954302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广元市昭化区卫生健康局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BA972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广元市昭化区人民医院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72348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专业技术岗位十级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283A0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临床医学1002、内科学105101。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B8F0F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研究生学历，并取得硕士及以上学位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5C1B5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4190D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硕士38周岁及以下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博士40周岁及以下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138B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eastAsia="zh-CN" w:bidi="ar-SA"/>
              </w:rPr>
              <w:t>主治医师及以上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DA58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注册到重症医学专业；从事重症医学科(ICU)工作</w:t>
            </w:r>
          </w:p>
        </w:tc>
        <w:tc>
          <w:tcPr>
            <w:tcW w:w="682" w:type="dxa"/>
            <w:noWrap w:val="0"/>
            <w:vAlign w:val="center"/>
          </w:tcPr>
          <w:p w14:paraId="29B39319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0E055E98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5A3BA6DF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168B7E38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14:paraId="2ED39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3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178E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2560036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003155E8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广元市昭化区卫生健康局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CF217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广元市昭化区人民医院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A5497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专业技术岗位十级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FE2D0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临床医学1002、内科学105101。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AF67F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研究生学历，并取得硕士及以上学位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7769F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5988F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硕士38周岁及以下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博士40周岁及以下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6B0F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eastAsia="zh-CN" w:bidi="ar-SA"/>
              </w:rPr>
              <w:t>主治医师及以上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C76A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注册到内科/心血管内科专业；从事心血管内科工作</w:t>
            </w:r>
          </w:p>
        </w:tc>
        <w:tc>
          <w:tcPr>
            <w:tcW w:w="682" w:type="dxa"/>
            <w:noWrap w:val="0"/>
            <w:vAlign w:val="center"/>
          </w:tcPr>
          <w:p w14:paraId="1A1DC8DA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0BA2D32B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67165B70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35A64A52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14:paraId="4148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09EE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2560037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2ABC01C1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广元市昭化区卫生健康局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3E48C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广元市昭化区人民医院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728CB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专业技术岗位十级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AE7C0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临床医学1002、内科学105101。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DBB12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研究生学历，并取得硕士及以上学位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5589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338EF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硕士38周岁及以下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博士40周岁及以下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9AA9A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eastAsia="zh-CN" w:bidi="ar-SA"/>
              </w:rPr>
              <w:t>主治医师及以上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0C6E8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取得中级职称证书，并注册到肾病内科/血液透析专业；从事肾病内科内及血液透析工作</w:t>
            </w:r>
          </w:p>
        </w:tc>
        <w:tc>
          <w:tcPr>
            <w:tcW w:w="682" w:type="dxa"/>
            <w:noWrap w:val="0"/>
            <w:vAlign w:val="center"/>
          </w:tcPr>
          <w:p w14:paraId="1E2627FA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79542A0C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20C12A25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465B4641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14:paraId="38E28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4023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2560038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7747F14A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广元市昭化区卫生健康局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34336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广元市昭化区人民医院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EDACF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专业技术岗位十二级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E4D91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本科：临床医学100201K、医学影像学100203TK；</w:t>
            </w:r>
          </w:p>
          <w:p w14:paraId="1611CE9A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研究生：临床医学1002、放射医学100106、影像医学与核医学100207、放射影像学105123。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E6509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本科及以上学历，并取得学士及以上学位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0A10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71C39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本科38周岁及以下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硕士38周岁及以下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博士40周岁及以下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7822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val="en-US" w:eastAsia="zh-CN" w:bidi="ar-SA"/>
              </w:rPr>
              <w:t>执业医师资格及以上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9C51A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取得执业医师资格证、规培证（规培方向为放射专业），并注册到放射专业，在二甲及以上医院从事放射诊断工作2年及以上</w:t>
            </w:r>
          </w:p>
        </w:tc>
        <w:tc>
          <w:tcPr>
            <w:tcW w:w="682" w:type="dxa"/>
            <w:noWrap w:val="0"/>
            <w:vAlign w:val="center"/>
          </w:tcPr>
          <w:p w14:paraId="70037A60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406CB880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194297E8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70962C35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eastAsia="zh-CN" w:bidi="ar-SA"/>
              </w:rPr>
              <w:t>需笔试</w:t>
            </w:r>
          </w:p>
        </w:tc>
      </w:tr>
      <w:tr w14:paraId="4863F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713" w:type="dxa"/>
            <w:tcBorders>
              <w:right w:val="single" w:color="auto" w:sz="4" w:space="0"/>
            </w:tcBorders>
            <w:noWrap w:val="0"/>
            <w:vAlign w:val="center"/>
          </w:tcPr>
          <w:p w14:paraId="0946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2560039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noWrap w:val="0"/>
            <w:vAlign w:val="center"/>
          </w:tcPr>
          <w:p w14:paraId="3C4646E5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广元市昭化区卫生健康局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756B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广元市昭化区人民医院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2F6B4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专业技术岗位十二级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D8BAF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本科：临床医学100201K；</w:t>
            </w:r>
          </w:p>
          <w:p w14:paraId="4A5F55E3">
            <w:pPr>
              <w:spacing w:line="24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研究生：临床医学1002、病理学与病理生理学100104、临床病理105119。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689D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本科及以上学历，并取得学士及以上学位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7E12D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1C068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本科38周岁及以下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硕士38周岁及以下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博士40周岁及以下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1FDE3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val="en-US" w:eastAsia="zh-CN" w:bidi="ar-SA"/>
              </w:rPr>
              <w:t>执业医师资格及以上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43E3A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取得执业医师资格证、规培证，并注册到病理专业</w:t>
            </w:r>
          </w:p>
        </w:tc>
        <w:tc>
          <w:tcPr>
            <w:tcW w:w="682" w:type="dxa"/>
            <w:noWrap w:val="0"/>
            <w:vAlign w:val="center"/>
          </w:tcPr>
          <w:p w14:paraId="39C763EC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46" w:type="dxa"/>
            <w:noWrap w:val="0"/>
            <w:vAlign w:val="center"/>
          </w:tcPr>
          <w:p w14:paraId="4B8B1A4A">
            <w:pPr>
              <w:spacing w:line="240" w:lineRule="exact"/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8722889</w:t>
            </w:r>
          </w:p>
          <w:p w14:paraId="6C9B2C6F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0839-</w:t>
            </w:r>
            <w:r>
              <w:rPr>
                <w:rFonts w:hint="default" w:ascii="仿宋_GB2312" w:eastAsia="仿宋_GB2312" w:cs="仿宋_GB2312"/>
                <w:b/>
                <w:bCs/>
                <w:color w:val="auto"/>
                <w:spacing w:val="-16"/>
                <w:kern w:val="2"/>
                <w:sz w:val="18"/>
                <w:szCs w:val="18"/>
                <w:lang w:val="en-US" w:eastAsia="zh-CN" w:bidi="ar-SA"/>
              </w:rPr>
              <w:t>8724661</w:t>
            </w:r>
          </w:p>
        </w:tc>
        <w:tc>
          <w:tcPr>
            <w:tcW w:w="658" w:type="dxa"/>
            <w:noWrap w:val="0"/>
            <w:vAlign w:val="center"/>
          </w:tcPr>
          <w:p w14:paraId="6384B399">
            <w:pPr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18"/>
                <w:szCs w:val="18"/>
                <w:lang w:eastAsia="zh-CN" w:bidi="ar-SA"/>
              </w:rPr>
              <w:t>需笔试</w:t>
            </w:r>
          </w:p>
        </w:tc>
      </w:tr>
    </w:tbl>
    <w:p w14:paraId="6DBFE045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 w14:paraId="69D27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Style w:val="10"/>
          <w:rFonts w:hint="eastAsia" w:ascii="Times New Roman" w:hAnsi="Times New Roman" w:eastAsia="仿宋_GB2312" w:cs="Times New Roman"/>
          <w:b w:val="0"/>
          <w:bCs w:val="0"/>
          <w:color w:val="000000"/>
          <w:spacing w:val="-8"/>
          <w:sz w:val="32"/>
          <w:szCs w:val="32"/>
          <w:highlight w:val="none"/>
          <w:lang w:val="en-US" w:eastAsia="zh-CN"/>
        </w:rPr>
      </w:pPr>
    </w:p>
    <w:p w14:paraId="35951D21">
      <w:bookmarkStart w:id="0" w:name="_GoBack"/>
      <w:bookmarkEnd w:id="0"/>
    </w:p>
    <w:sectPr>
      <w:pgSz w:w="16838" w:h="11906" w:orient="landscape"/>
      <w:pgMar w:top="1587" w:right="2098" w:bottom="1474" w:left="1984" w:header="850" w:footer="1559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3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before="100" w:beforeAutospacing="1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4">
    <w:name w:val="table of figures"/>
    <w:next w:val="1"/>
    <w:qFormat/>
    <w:uiPriority w:val="0"/>
    <w:pPr>
      <w:widowControl w:val="0"/>
      <w:ind w:left="200" w:leftChars="200" w:hanging="200" w:hanging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5">
    <w:name w:val="Normal (Web)"/>
    <w:next w:val="6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6">
    <w:name w:val="Body Text First Indent"/>
    <w:qFormat/>
    <w:uiPriority w:val="0"/>
    <w:pPr>
      <w:widowControl w:val="0"/>
      <w:spacing w:before="100" w:beforeAutospacing="1"/>
      <w:ind w:firstLine="420" w:firstLineChars="1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9">
    <w:name w:val="Strong"/>
    <w:qFormat/>
    <w:uiPriority w:val="0"/>
    <w:rPr>
      <w:b/>
    </w:rPr>
  </w:style>
  <w:style w:type="character" w:customStyle="1" w:styleId="10">
    <w:name w:val="15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顾北凉城</cp:lastModifiedBy>
  <dcterms:modified xsi:type="dcterms:W3CDTF">2025-10-21T07:07:04Z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eyJoZGlkIjoiZWM2Yjk2ZDM3ZGFhYmUyYzBlYzMwMjYzNWM5OTQ2YmQiLCJ1c2VySWQiOiIzMDc4MjM3NzkifQ==</vt:lpwstr>
  </property>
  <property fmtid="{D5CDD505-2E9C-101B-9397-08002B2CF9AE}" pid="4" name="ICV">
    <vt:lpwstr>53F5A13EF4414AC887BC345AD065DA6D_12</vt:lpwstr>
  </property>
</Properties>
</file>