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0CB85">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黑体" w:cs="Times New Roman"/>
          <w:color w:val="auto"/>
          <w:spacing w:val="-11"/>
          <w:sz w:val="32"/>
          <w:szCs w:val="32"/>
          <w:highlight w:val="none"/>
          <w:shd w:val="clear" w:color="auto" w:fill="FFFFFF"/>
          <w:lang w:val="en-US" w:eastAsia="zh-CN"/>
        </w:rPr>
      </w:pPr>
      <w:bookmarkStart w:id="0" w:name="_Hlk74734400"/>
      <w:bookmarkEnd w:id="0"/>
      <w:r>
        <w:rPr>
          <w:rFonts w:hint="default" w:ascii="Times New Roman" w:hAnsi="Times New Roman" w:eastAsia="黑体" w:cs="Times New Roman"/>
          <w:color w:val="auto"/>
          <w:spacing w:val="-11"/>
          <w:sz w:val="32"/>
          <w:szCs w:val="32"/>
          <w:highlight w:val="none"/>
          <w:shd w:val="clear" w:color="auto" w:fill="FFFFFF"/>
          <w:lang w:val="en-US" w:eastAsia="zh-CN"/>
        </w:rPr>
        <w:t>附件</w:t>
      </w:r>
      <w:r>
        <w:rPr>
          <w:rFonts w:hint="eastAsia" w:eastAsia="黑体" w:cs="Times New Roman"/>
          <w:color w:val="auto"/>
          <w:spacing w:val="-11"/>
          <w:sz w:val="32"/>
          <w:szCs w:val="32"/>
          <w:highlight w:val="none"/>
          <w:shd w:val="clear" w:color="auto" w:fill="FFFFFF"/>
          <w:lang w:val="en-US" w:eastAsia="zh-CN"/>
        </w:rPr>
        <w:t>1</w:t>
      </w:r>
    </w:p>
    <w:p w14:paraId="18C1F929">
      <w:pPr>
        <w:pStyle w:val="2"/>
        <w:jc w:val="center"/>
        <w:rPr>
          <w:rFonts w:hint="eastAsia" w:ascii="方正小标宋_GBK" w:hAnsi="方正小标宋_GBK" w:eastAsia="方正小标宋_GBK" w:cs="方正小标宋_GBK"/>
          <w:spacing w:val="-11"/>
          <w:w w:val="100"/>
          <w:sz w:val="44"/>
          <w:szCs w:val="44"/>
          <w:lang w:val="en-US" w:eastAsia="zh-CN"/>
        </w:rPr>
      </w:pPr>
      <w:r>
        <w:rPr>
          <w:rFonts w:hint="eastAsia" w:ascii="方正小标宋简体" w:hAnsi="方正小标宋简体" w:eastAsia="方正小标宋简体" w:cs="方正小标宋简体"/>
          <w:spacing w:val="-11"/>
          <w:w w:val="100"/>
          <w:sz w:val="44"/>
          <w:szCs w:val="44"/>
          <w:lang w:val="en-US" w:eastAsia="zh-CN"/>
        </w:rPr>
        <w:t>日照高新发展集团有限公司公开引进子公司专业技术人才岗位计划表</w:t>
      </w:r>
    </w:p>
    <w:tbl>
      <w:tblPr>
        <w:tblStyle w:val="7"/>
        <w:tblpPr w:leftFromText="180" w:rightFromText="180" w:vertAnchor="text" w:horzAnchor="page" w:tblpXSpec="center" w:tblpY="169"/>
        <w:tblOverlap w:val="never"/>
        <w:tblW w:w="14693" w:type="dxa"/>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964"/>
        <w:gridCol w:w="986"/>
        <w:gridCol w:w="3750"/>
        <w:gridCol w:w="7292"/>
      </w:tblGrid>
      <w:tr w14:paraId="7A0F75CD">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696" w:hRule="atLeast"/>
          <w:jc w:val="center"/>
        </w:trPr>
        <w:tc>
          <w:tcPr>
            <w:tcW w:w="1701" w:type="dxa"/>
            <w:tcBorders>
              <w:tl2br w:val="nil"/>
              <w:tr2bl w:val="nil"/>
            </w:tcBorders>
            <w:noWrap/>
            <w:vAlign w:val="center"/>
          </w:tcPr>
          <w:p w14:paraId="79429BCC">
            <w:pPr>
              <w:widowControl/>
              <w:spacing w:line="500" w:lineRule="exact"/>
              <w:jc w:val="center"/>
              <w:textAlignment w:val="center"/>
              <w:rPr>
                <w:rFonts w:hint="eastAsia" w:ascii="Times New Roman" w:hAnsi="Times New Roman" w:eastAsia="黑体" w:cs="Times New Roman"/>
                <w:color w:val="auto"/>
                <w:sz w:val="28"/>
                <w:szCs w:val="28"/>
                <w:lang w:val="en-US" w:eastAsia="zh-CN"/>
              </w:rPr>
            </w:pPr>
            <w:r>
              <w:rPr>
                <w:rFonts w:hint="eastAsia" w:eastAsia="黑体" w:cs="Times New Roman"/>
                <w:color w:val="auto"/>
                <w:sz w:val="28"/>
                <w:szCs w:val="28"/>
                <w:lang w:val="en-US" w:eastAsia="zh-CN"/>
              </w:rPr>
              <w:t>岗位</w:t>
            </w:r>
          </w:p>
        </w:tc>
        <w:tc>
          <w:tcPr>
            <w:tcW w:w="964" w:type="dxa"/>
            <w:tcBorders>
              <w:tl2br w:val="nil"/>
              <w:tr2bl w:val="nil"/>
            </w:tcBorders>
            <w:noWrap/>
            <w:vAlign w:val="center"/>
          </w:tcPr>
          <w:p w14:paraId="53DF8372">
            <w:pPr>
              <w:widowControl/>
              <w:spacing w:line="500" w:lineRule="exact"/>
              <w:jc w:val="center"/>
              <w:textAlignment w:val="center"/>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人数</w:t>
            </w:r>
          </w:p>
        </w:tc>
        <w:tc>
          <w:tcPr>
            <w:tcW w:w="986" w:type="dxa"/>
            <w:tcBorders>
              <w:tl2br w:val="nil"/>
              <w:tr2bl w:val="nil"/>
            </w:tcBorders>
            <w:noWrap/>
            <w:vAlign w:val="center"/>
          </w:tcPr>
          <w:p w14:paraId="46649DDA">
            <w:pPr>
              <w:widowControl/>
              <w:spacing w:line="500" w:lineRule="exact"/>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学历</w:t>
            </w:r>
          </w:p>
        </w:tc>
        <w:tc>
          <w:tcPr>
            <w:tcW w:w="3750" w:type="dxa"/>
            <w:tcBorders>
              <w:tl2br w:val="nil"/>
              <w:tr2bl w:val="nil"/>
            </w:tcBorders>
            <w:noWrap/>
            <w:vAlign w:val="center"/>
          </w:tcPr>
          <w:p w14:paraId="04BC13DD">
            <w:pPr>
              <w:widowControl/>
              <w:spacing w:line="500" w:lineRule="exact"/>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专业要求</w:t>
            </w:r>
          </w:p>
        </w:tc>
        <w:tc>
          <w:tcPr>
            <w:tcW w:w="7292" w:type="dxa"/>
            <w:tcBorders>
              <w:tl2br w:val="nil"/>
              <w:tr2bl w:val="nil"/>
            </w:tcBorders>
            <w:noWrap/>
            <w:vAlign w:val="center"/>
          </w:tcPr>
          <w:p w14:paraId="6BE13F69">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岗位要求</w:t>
            </w:r>
          </w:p>
        </w:tc>
      </w:tr>
      <w:tr w14:paraId="6784B303">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2872" w:hRule="atLeast"/>
          <w:jc w:val="center"/>
        </w:trPr>
        <w:tc>
          <w:tcPr>
            <w:tcW w:w="1701" w:type="dxa"/>
            <w:tcBorders>
              <w:tl2br w:val="nil"/>
              <w:tr2bl w:val="nil"/>
            </w:tcBorders>
            <w:noWrap/>
            <w:vAlign w:val="center"/>
          </w:tcPr>
          <w:p w14:paraId="74E8EC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1"/>
                <w:rFonts w:hint="default" w:ascii="Times New Roman" w:hAnsi="Times New Roman" w:cs="Times New Roman"/>
                <w:b w:val="0"/>
                <w:bCs w:val="0"/>
                <w:color w:val="auto"/>
                <w:sz w:val="28"/>
                <w:szCs w:val="28"/>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供应链高级管理岗</w:t>
            </w:r>
          </w:p>
        </w:tc>
        <w:tc>
          <w:tcPr>
            <w:tcW w:w="964" w:type="dxa"/>
            <w:tcBorders>
              <w:tl2br w:val="nil"/>
              <w:tr2bl w:val="nil"/>
            </w:tcBorders>
            <w:shd w:val="clear" w:color="auto" w:fill="auto"/>
            <w:noWrap/>
            <w:vAlign w:val="center"/>
          </w:tcPr>
          <w:p w14:paraId="0912F16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1</w:t>
            </w:r>
          </w:p>
        </w:tc>
        <w:tc>
          <w:tcPr>
            <w:tcW w:w="986" w:type="dxa"/>
            <w:vMerge w:val="restart"/>
            <w:tcBorders>
              <w:tl2br w:val="nil"/>
              <w:tr2bl w:val="nil"/>
            </w:tcBorders>
            <w:shd w:val="clear" w:color="auto" w:fill="auto"/>
            <w:noWrap w:val="0"/>
            <w:vAlign w:val="center"/>
          </w:tcPr>
          <w:p w14:paraId="63121F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专科及</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以上学历</w:t>
            </w:r>
          </w:p>
        </w:tc>
        <w:tc>
          <w:tcPr>
            <w:tcW w:w="3750" w:type="dxa"/>
            <w:tcBorders>
              <w:tl2br w:val="nil"/>
              <w:tr2bl w:val="nil"/>
            </w:tcBorders>
            <w:shd w:val="clear" w:color="auto" w:fill="auto"/>
            <w:noWrap w:val="0"/>
            <w:vAlign w:val="center"/>
          </w:tcPr>
          <w:p w14:paraId="1E54FE0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eastAsia="仿宋_GB2312" w:cs="Times New Roman"/>
                <w:i w:val="0"/>
                <w:iCs w:val="0"/>
                <w:color w:val="000000"/>
                <w:kern w:val="0"/>
                <w:sz w:val="28"/>
                <w:szCs w:val="28"/>
                <w:u w:val="none"/>
                <w:lang w:val="en-US" w:eastAsia="zh-CN" w:bidi="ar"/>
              </w:rPr>
              <w:t>本科及以上学历：</w:t>
            </w:r>
            <w:r>
              <w:rPr>
                <w:rFonts w:hint="default" w:eastAsia="仿宋_GB2312" w:cs="Times New Roman"/>
                <w:i w:val="0"/>
                <w:iCs w:val="0"/>
                <w:color w:val="000000"/>
                <w:kern w:val="0"/>
                <w:sz w:val="28"/>
                <w:szCs w:val="28"/>
                <w:u w:val="none"/>
                <w:lang w:val="en-US" w:eastAsia="zh-CN" w:bidi="ar"/>
              </w:rPr>
              <w:t>材料类</w:t>
            </w:r>
            <w:r>
              <w:rPr>
                <w:rFonts w:hint="eastAsia" w:eastAsia="仿宋_GB2312" w:cs="Times New Roman"/>
                <w:i w:val="0"/>
                <w:iCs w:val="0"/>
                <w:color w:val="000000"/>
                <w:kern w:val="0"/>
                <w:sz w:val="28"/>
                <w:szCs w:val="28"/>
                <w:u w:val="none"/>
                <w:lang w:val="en-US" w:eastAsia="zh-CN" w:bidi="ar"/>
              </w:rPr>
              <w:t>等</w:t>
            </w:r>
            <w:r>
              <w:rPr>
                <w:rFonts w:hint="default" w:ascii="Times New Roman" w:hAnsi="Times New Roman" w:eastAsia="仿宋_GB2312" w:cs="Times New Roman"/>
                <w:i w:val="0"/>
                <w:iCs w:val="0"/>
                <w:color w:val="000000"/>
                <w:kern w:val="0"/>
                <w:sz w:val="28"/>
                <w:szCs w:val="28"/>
                <w:u w:val="none"/>
                <w:lang w:val="en-US" w:eastAsia="zh-CN" w:bidi="ar"/>
              </w:rPr>
              <w:t>工学</w:t>
            </w:r>
            <w:r>
              <w:rPr>
                <w:rFonts w:hint="eastAsia" w:eastAsia="仿宋_GB2312" w:cs="Times New Roman"/>
                <w:i w:val="0"/>
                <w:iCs w:val="0"/>
                <w:color w:val="000000"/>
                <w:kern w:val="0"/>
                <w:sz w:val="28"/>
                <w:szCs w:val="28"/>
                <w:u w:val="none"/>
                <w:lang w:val="en-US" w:eastAsia="zh-CN" w:bidi="ar"/>
              </w:rPr>
              <w:t>门类、</w:t>
            </w:r>
            <w:r>
              <w:rPr>
                <w:rFonts w:hint="default" w:ascii="Times New Roman" w:hAnsi="Times New Roman" w:eastAsia="仿宋_GB2312" w:cs="Times New Roman"/>
                <w:i w:val="0"/>
                <w:iCs w:val="0"/>
                <w:color w:val="000000"/>
                <w:kern w:val="0"/>
                <w:sz w:val="28"/>
                <w:szCs w:val="28"/>
                <w:u w:val="none"/>
                <w:lang w:val="en-US" w:eastAsia="zh-CN" w:bidi="ar"/>
              </w:rPr>
              <w:t>管理学</w:t>
            </w:r>
            <w:r>
              <w:rPr>
                <w:rFonts w:hint="eastAsia" w:eastAsia="仿宋_GB2312" w:cs="Times New Roman"/>
                <w:i w:val="0"/>
                <w:iCs w:val="0"/>
                <w:color w:val="000000"/>
                <w:kern w:val="0"/>
                <w:sz w:val="28"/>
                <w:szCs w:val="28"/>
                <w:u w:val="none"/>
                <w:lang w:val="en-US" w:eastAsia="zh-CN" w:bidi="ar"/>
              </w:rPr>
              <w:t>门</w:t>
            </w:r>
            <w:r>
              <w:rPr>
                <w:rFonts w:hint="default" w:ascii="Times New Roman" w:hAnsi="Times New Roman" w:eastAsia="仿宋_GB2312" w:cs="Times New Roman"/>
                <w:i w:val="0"/>
                <w:iCs w:val="0"/>
                <w:color w:val="000000"/>
                <w:kern w:val="0"/>
                <w:sz w:val="28"/>
                <w:szCs w:val="28"/>
                <w:u w:val="none"/>
                <w:lang w:val="en-US" w:eastAsia="zh-CN" w:bidi="ar"/>
              </w:rPr>
              <w:t>类、</w:t>
            </w:r>
            <w:r>
              <w:rPr>
                <w:rFonts w:hint="eastAsia" w:eastAsia="仿宋_GB2312" w:cs="Times New Roman"/>
                <w:i w:val="0"/>
                <w:iCs w:val="0"/>
                <w:color w:val="000000"/>
                <w:kern w:val="0"/>
                <w:sz w:val="28"/>
                <w:szCs w:val="28"/>
                <w:u w:val="none"/>
                <w:lang w:val="en-US" w:eastAsia="zh-CN" w:bidi="ar"/>
              </w:rPr>
              <w:t>理学门</w:t>
            </w:r>
            <w:r>
              <w:rPr>
                <w:rFonts w:hint="default" w:ascii="Times New Roman" w:hAnsi="Times New Roman" w:eastAsia="仿宋_GB2312" w:cs="Times New Roman"/>
                <w:i w:val="0"/>
                <w:iCs w:val="0"/>
                <w:color w:val="000000"/>
                <w:kern w:val="0"/>
                <w:sz w:val="28"/>
                <w:szCs w:val="28"/>
                <w:u w:val="none"/>
                <w:lang w:val="en-US" w:eastAsia="zh-CN" w:bidi="ar"/>
              </w:rPr>
              <w:t>类</w:t>
            </w:r>
            <w:r>
              <w:rPr>
                <w:rFonts w:hint="eastAsia" w:eastAsia="仿宋_GB2312" w:cs="Times New Roman"/>
                <w:i w:val="0"/>
                <w:iCs w:val="0"/>
                <w:color w:val="000000"/>
                <w:kern w:val="0"/>
                <w:sz w:val="28"/>
                <w:szCs w:val="28"/>
                <w:u w:val="none"/>
                <w:lang w:val="en-US" w:eastAsia="zh-CN" w:bidi="ar"/>
              </w:rPr>
              <w:t>、经济学门类</w:t>
            </w:r>
            <w:r>
              <w:rPr>
                <w:rFonts w:hint="default" w:ascii="Times New Roman" w:hAnsi="Times New Roman" w:eastAsia="仿宋_GB2312" w:cs="Times New Roman"/>
                <w:i w:val="0"/>
                <w:iCs w:val="0"/>
                <w:color w:val="000000"/>
                <w:kern w:val="0"/>
                <w:sz w:val="28"/>
                <w:szCs w:val="28"/>
                <w:u w:val="none"/>
                <w:lang w:val="en-US" w:eastAsia="zh-CN" w:bidi="ar"/>
              </w:rPr>
              <w:t>专业</w:t>
            </w:r>
          </w:p>
          <w:p w14:paraId="734A1E8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lang w:val="en-US" w:eastAsia="zh-CN"/>
              </w:rPr>
            </w:pPr>
            <w:r>
              <w:rPr>
                <w:rFonts w:hint="eastAsia" w:ascii="Times New Roman" w:hAnsi="Times New Roman" w:eastAsia="仿宋_GB2312" w:cs="Times New Roman"/>
                <w:i w:val="0"/>
                <w:iCs w:val="0"/>
                <w:color w:val="000000"/>
                <w:kern w:val="0"/>
                <w:sz w:val="28"/>
                <w:szCs w:val="28"/>
                <w:u w:val="none"/>
                <w:lang w:val="en-US" w:eastAsia="zh-CN" w:bidi="ar"/>
              </w:rPr>
              <w:t>专科</w:t>
            </w:r>
            <w:r>
              <w:rPr>
                <w:rFonts w:hint="eastAsia" w:eastAsia="仿宋_GB2312" w:cs="Times New Roman"/>
                <w:i w:val="0"/>
                <w:iCs w:val="0"/>
                <w:color w:val="000000"/>
                <w:kern w:val="0"/>
                <w:sz w:val="28"/>
                <w:szCs w:val="28"/>
                <w:u w:val="none"/>
                <w:lang w:val="en-US" w:eastAsia="zh-CN" w:bidi="ar"/>
              </w:rPr>
              <w:t>学历</w:t>
            </w:r>
            <w:r>
              <w:rPr>
                <w:rFonts w:hint="eastAsia" w:ascii="Times New Roman" w:hAnsi="Times New Roman" w:eastAsia="仿宋_GB2312" w:cs="Times New Roman"/>
                <w:i w:val="0"/>
                <w:iCs w:val="0"/>
                <w:color w:val="000000"/>
                <w:kern w:val="0"/>
                <w:sz w:val="28"/>
                <w:szCs w:val="28"/>
                <w:u w:val="none"/>
                <w:lang w:val="en-US" w:eastAsia="zh-CN" w:bidi="ar"/>
              </w:rPr>
              <w:t>：</w:t>
            </w:r>
            <w:r>
              <w:rPr>
                <w:rFonts w:hint="eastAsia" w:eastAsia="仿宋_GB2312" w:cs="Times New Roman"/>
                <w:i w:val="0"/>
                <w:iCs w:val="0"/>
                <w:color w:val="000000"/>
                <w:kern w:val="0"/>
                <w:sz w:val="28"/>
                <w:szCs w:val="28"/>
                <w:u w:val="none"/>
                <w:lang w:val="en-US" w:eastAsia="zh-CN" w:bidi="ar"/>
              </w:rPr>
              <w:t>财经商贸大类、装备制造大类</w:t>
            </w:r>
            <w:r>
              <w:rPr>
                <w:rFonts w:hint="default" w:ascii="Times New Roman" w:hAnsi="Times New Roman" w:eastAsia="仿宋_GB2312" w:cs="Times New Roman"/>
                <w:i w:val="0"/>
                <w:iCs w:val="0"/>
                <w:color w:val="000000"/>
                <w:kern w:val="0"/>
                <w:sz w:val="28"/>
                <w:szCs w:val="28"/>
                <w:u w:val="none"/>
                <w:lang w:val="en-US" w:eastAsia="zh-CN" w:bidi="ar"/>
              </w:rPr>
              <w:t>专业</w:t>
            </w:r>
          </w:p>
        </w:tc>
        <w:tc>
          <w:tcPr>
            <w:tcW w:w="7292" w:type="dxa"/>
            <w:tcBorders>
              <w:tl2br w:val="nil"/>
              <w:tr2bl w:val="nil"/>
            </w:tcBorders>
            <w:shd w:val="clear" w:color="auto" w:fill="auto"/>
            <w:noWrap w:val="0"/>
            <w:vAlign w:val="center"/>
          </w:tcPr>
          <w:p w14:paraId="556A784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w:t>
            </w:r>
            <w:r>
              <w:rPr>
                <w:rFonts w:hint="default" w:ascii="Times New Roman" w:hAnsi="Times New Roman" w:eastAsia="仿宋_GB2312" w:cs="Times New Roman"/>
                <w:i w:val="0"/>
                <w:iCs w:val="0"/>
                <w:color w:val="000000"/>
                <w:kern w:val="0"/>
                <w:sz w:val="28"/>
                <w:szCs w:val="28"/>
                <w:u w:val="none"/>
                <w:lang w:val="en-US" w:eastAsia="zh-CN" w:bidi="ar"/>
              </w:rPr>
              <w:t>具备</w:t>
            </w:r>
            <w:r>
              <w:rPr>
                <w:rFonts w:hint="default" w:ascii="Times New Roman" w:hAnsi="Times New Roman" w:eastAsia="宋体" w:cs="Times New Roman"/>
                <w:i w:val="0"/>
                <w:iCs w:val="0"/>
                <w:color w:val="000000"/>
                <w:kern w:val="0"/>
                <w:sz w:val="28"/>
                <w:szCs w:val="28"/>
                <w:u w:val="none"/>
                <w:lang w:val="en-US" w:eastAsia="zh-CN" w:bidi="ar"/>
              </w:rPr>
              <w:t>10</w:t>
            </w:r>
            <w:r>
              <w:rPr>
                <w:rFonts w:hint="default" w:ascii="Times New Roman" w:hAnsi="Times New Roman" w:eastAsia="仿宋_GB2312" w:cs="Times New Roman"/>
                <w:i w:val="0"/>
                <w:iCs w:val="0"/>
                <w:color w:val="000000"/>
                <w:kern w:val="0"/>
                <w:sz w:val="28"/>
                <w:szCs w:val="28"/>
                <w:u w:val="none"/>
                <w:lang w:val="en-US" w:eastAsia="zh-CN" w:bidi="ar"/>
              </w:rPr>
              <w:t>年及以上</w:t>
            </w:r>
            <w:r>
              <w:rPr>
                <w:rFonts w:hint="eastAsia" w:eastAsia="仿宋_GB2312" w:cs="Times New Roman"/>
                <w:i w:val="0"/>
                <w:iCs w:val="0"/>
                <w:color w:val="000000"/>
                <w:kern w:val="0"/>
                <w:sz w:val="28"/>
                <w:szCs w:val="28"/>
                <w:u w:val="none"/>
                <w:lang w:val="en-US" w:eastAsia="zh-CN" w:bidi="ar"/>
              </w:rPr>
              <w:t>钢材等行业供应链从业</w:t>
            </w:r>
            <w:r>
              <w:rPr>
                <w:rFonts w:hint="default" w:ascii="Times New Roman" w:hAnsi="Times New Roman" w:eastAsia="仿宋_GB2312" w:cs="Times New Roman"/>
                <w:i w:val="0"/>
                <w:iCs w:val="0"/>
                <w:color w:val="000000"/>
                <w:kern w:val="0"/>
                <w:sz w:val="28"/>
                <w:szCs w:val="28"/>
                <w:u w:val="none"/>
                <w:lang w:val="en-US" w:eastAsia="zh-CN" w:bidi="ar"/>
              </w:rPr>
              <w:t>及管理经验，年龄在</w:t>
            </w:r>
            <w:r>
              <w:rPr>
                <w:rFonts w:hint="default" w:ascii="Times New Roman" w:hAnsi="Times New Roman" w:eastAsia="宋体" w:cs="Times New Roman"/>
                <w:i w:val="0"/>
                <w:iCs w:val="0"/>
                <w:color w:val="000000"/>
                <w:kern w:val="0"/>
                <w:sz w:val="28"/>
                <w:szCs w:val="28"/>
                <w:u w:val="none"/>
                <w:lang w:val="en-US" w:eastAsia="zh-CN" w:bidi="ar"/>
              </w:rPr>
              <w:t>45</w:t>
            </w:r>
            <w:r>
              <w:rPr>
                <w:rFonts w:hint="default" w:ascii="Times New Roman" w:hAnsi="Times New Roman" w:eastAsia="仿宋_GB2312" w:cs="Times New Roman"/>
                <w:i w:val="0"/>
                <w:iCs w:val="0"/>
                <w:color w:val="000000"/>
                <w:kern w:val="0"/>
                <w:sz w:val="28"/>
                <w:szCs w:val="28"/>
                <w:u w:val="none"/>
                <w:lang w:val="en-US" w:eastAsia="zh-CN" w:bidi="ar"/>
              </w:rPr>
              <w:t>周岁及以下；</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2.</w:t>
            </w:r>
            <w:r>
              <w:rPr>
                <w:rFonts w:hint="default" w:ascii="Times New Roman" w:hAnsi="Times New Roman" w:eastAsia="仿宋_GB2312" w:cs="Times New Roman"/>
                <w:i w:val="0"/>
                <w:iCs w:val="0"/>
                <w:color w:val="000000"/>
                <w:kern w:val="0"/>
                <w:sz w:val="28"/>
                <w:szCs w:val="28"/>
                <w:u w:val="none"/>
                <w:lang w:val="en-US" w:eastAsia="zh-CN" w:bidi="ar"/>
              </w:rPr>
              <w:t>熟悉供应链行业、供应链全流程管理，具有较强的行业资源及体系资源整合能力、供应链体系顶层设计能力；</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w:t>
            </w:r>
            <w:r>
              <w:rPr>
                <w:rFonts w:hint="default" w:ascii="Times New Roman" w:hAnsi="Times New Roman" w:eastAsia="仿宋_GB2312" w:cs="Times New Roman"/>
                <w:i w:val="0"/>
                <w:iCs w:val="0"/>
                <w:color w:val="000000"/>
                <w:kern w:val="0"/>
                <w:sz w:val="28"/>
                <w:szCs w:val="28"/>
                <w:u w:val="none"/>
                <w:lang w:val="en-US" w:eastAsia="zh-CN" w:bidi="ar"/>
              </w:rPr>
              <w:t>具备</w:t>
            </w:r>
            <w:r>
              <w:rPr>
                <w:rFonts w:hint="eastAsia" w:eastAsia="仿宋_GB2312" w:cs="Times New Roman"/>
                <w:i w:val="0"/>
                <w:iCs w:val="0"/>
                <w:color w:val="000000"/>
                <w:kern w:val="0"/>
                <w:sz w:val="28"/>
                <w:szCs w:val="28"/>
                <w:u w:val="none"/>
                <w:lang w:val="en-US" w:eastAsia="zh-CN" w:bidi="ar"/>
              </w:rPr>
              <w:t>一定的市场开拓能力，能够</w:t>
            </w:r>
            <w:r>
              <w:rPr>
                <w:rFonts w:hint="default" w:ascii="Times New Roman" w:hAnsi="Times New Roman" w:eastAsia="仿宋_GB2312" w:cs="Times New Roman"/>
                <w:i w:val="0"/>
                <w:iCs w:val="0"/>
                <w:color w:val="000000"/>
                <w:kern w:val="0"/>
                <w:sz w:val="28"/>
                <w:szCs w:val="28"/>
                <w:u w:val="none"/>
                <w:lang w:val="en-US" w:eastAsia="zh-CN" w:bidi="ar"/>
              </w:rPr>
              <w:t>协调物流运输、仓储等多方资源</w:t>
            </w:r>
            <w:r>
              <w:rPr>
                <w:rFonts w:hint="eastAsia" w:eastAsia="仿宋_GB2312" w:cs="Times New Roman"/>
                <w:i w:val="0"/>
                <w:iCs w:val="0"/>
                <w:color w:val="000000"/>
                <w:kern w:val="0"/>
                <w:sz w:val="28"/>
                <w:szCs w:val="28"/>
                <w:u w:val="none"/>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搭建并优化供应链全流程管理体系；</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4.</w:t>
            </w:r>
            <w:r>
              <w:rPr>
                <w:rFonts w:hint="default" w:ascii="Times New Roman" w:hAnsi="Times New Roman" w:eastAsia="仿宋_GB2312" w:cs="Times New Roman"/>
                <w:i w:val="0"/>
                <w:iCs w:val="0"/>
                <w:color w:val="000000"/>
                <w:kern w:val="0"/>
                <w:sz w:val="28"/>
                <w:szCs w:val="28"/>
                <w:u w:val="none"/>
                <w:lang w:val="en-US" w:eastAsia="zh-CN" w:bidi="ar"/>
              </w:rPr>
              <w:t>具备良好的组织管理、跨部门沟通协调和</w:t>
            </w:r>
            <w:r>
              <w:rPr>
                <w:rFonts w:hint="eastAsia" w:eastAsia="仿宋_GB2312" w:cs="Times New Roman"/>
                <w:i w:val="0"/>
                <w:iCs w:val="0"/>
                <w:color w:val="000000"/>
                <w:kern w:val="0"/>
                <w:sz w:val="28"/>
                <w:szCs w:val="28"/>
                <w:u w:val="none"/>
                <w:lang w:val="en-US" w:eastAsia="zh-CN" w:bidi="ar"/>
              </w:rPr>
              <w:t>风险控制</w:t>
            </w:r>
            <w:r>
              <w:rPr>
                <w:rFonts w:hint="default" w:ascii="Times New Roman" w:hAnsi="Times New Roman" w:eastAsia="仿宋_GB2312" w:cs="Times New Roman"/>
                <w:i w:val="0"/>
                <w:iCs w:val="0"/>
                <w:color w:val="000000"/>
                <w:kern w:val="0"/>
                <w:sz w:val="28"/>
                <w:szCs w:val="28"/>
                <w:u w:val="none"/>
                <w:lang w:val="en-US" w:eastAsia="zh-CN" w:bidi="ar"/>
              </w:rPr>
              <w:t>能力。</w:t>
            </w:r>
          </w:p>
        </w:tc>
      </w:tr>
      <w:tr w14:paraId="55F08C98">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2945" w:hRule="atLeast"/>
          <w:jc w:val="center"/>
        </w:trPr>
        <w:tc>
          <w:tcPr>
            <w:tcW w:w="1701" w:type="dxa"/>
            <w:tcBorders>
              <w:tl2br w:val="nil"/>
              <w:tr2bl w:val="nil"/>
            </w:tcBorders>
            <w:noWrap/>
            <w:vAlign w:val="center"/>
          </w:tcPr>
          <w:p w14:paraId="2FEB33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auto"/>
                <w:kern w:val="2"/>
                <w:sz w:val="28"/>
                <w:szCs w:val="28"/>
                <w:highlight w:val="yellow"/>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智能制造高级管理岗</w:t>
            </w:r>
          </w:p>
        </w:tc>
        <w:tc>
          <w:tcPr>
            <w:tcW w:w="964" w:type="dxa"/>
            <w:tcBorders>
              <w:tl2br w:val="nil"/>
              <w:tr2bl w:val="nil"/>
            </w:tcBorders>
            <w:noWrap/>
            <w:vAlign w:val="center"/>
          </w:tcPr>
          <w:p w14:paraId="46B203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color w:val="auto"/>
                <w:spacing w:val="-6"/>
                <w:kern w:val="0"/>
                <w:sz w:val="28"/>
                <w:szCs w:val="28"/>
                <w:highlight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986" w:type="dxa"/>
            <w:vMerge w:val="continue"/>
            <w:tcBorders>
              <w:tl2br w:val="nil"/>
              <w:tr2bl w:val="nil"/>
            </w:tcBorders>
            <w:noWrap w:val="0"/>
            <w:vAlign w:val="center"/>
          </w:tcPr>
          <w:p w14:paraId="22DA59EF">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color w:val="auto"/>
                <w:spacing w:val="-6"/>
                <w:kern w:val="0"/>
                <w:sz w:val="28"/>
                <w:szCs w:val="28"/>
                <w:highlight w:val="none"/>
                <w:lang w:val="en-US" w:eastAsia="zh-CN" w:bidi="ar"/>
              </w:rPr>
            </w:pPr>
          </w:p>
        </w:tc>
        <w:tc>
          <w:tcPr>
            <w:tcW w:w="3750" w:type="dxa"/>
            <w:tcBorders>
              <w:tl2br w:val="nil"/>
              <w:tr2bl w:val="nil"/>
            </w:tcBorders>
            <w:noWrap w:val="0"/>
            <w:vAlign w:val="center"/>
          </w:tcPr>
          <w:p w14:paraId="05258F6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eastAsia="仿宋_GB2312" w:cs="Times New Roman"/>
                <w:i w:val="0"/>
                <w:iCs w:val="0"/>
                <w:color w:val="000000"/>
                <w:kern w:val="0"/>
                <w:sz w:val="28"/>
                <w:szCs w:val="28"/>
                <w:u w:val="none"/>
                <w:lang w:val="en-US" w:eastAsia="zh-CN" w:bidi="ar"/>
              </w:rPr>
            </w:pPr>
            <w:r>
              <w:rPr>
                <w:rFonts w:hint="eastAsia" w:eastAsia="仿宋_GB2312" w:cs="Times New Roman"/>
                <w:i w:val="0"/>
                <w:iCs w:val="0"/>
                <w:color w:val="000000"/>
                <w:kern w:val="0"/>
                <w:sz w:val="28"/>
                <w:szCs w:val="28"/>
                <w:u w:val="none"/>
                <w:lang w:val="en-US" w:eastAsia="zh-CN" w:bidi="ar"/>
              </w:rPr>
              <w:t>本科及以上学历：</w:t>
            </w:r>
            <w:r>
              <w:rPr>
                <w:rFonts w:hint="default" w:eastAsia="仿宋_GB2312" w:cs="Times New Roman"/>
                <w:i w:val="0"/>
                <w:iCs w:val="0"/>
                <w:color w:val="000000"/>
                <w:kern w:val="0"/>
                <w:sz w:val="28"/>
                <w:szCs w:val="28"/>
                <w:u w:val="none"/>
                <w:lang w:val="en-US" w:eastAsia="zh-CN" w:bidi="ar"/>
              </w:rPr>
              <w:t>材料类、机械类、自动化类等工学</w:t>
            </w:r>
            <w:r>
              <w:rPr>
                <w:rFonts w:hint="eastAsia" w:eastAsia="仿宋_GB2312" w:cs="Times New Roman"/>
                <w:i w:val="0"/>
                <w:iCs w:val="0"/>
                <w:color w:val="000000"/>
                <w:kern w:val="0"/>
                <w:sz w:val="28"/>
                <w:szCs w:val="28"/>
                <w:u w:val="none"/>
                <w:lang w:val="en-US" w:eastAsia="zh-CN" w:bidi="ar"/>
              </w:rPr>
              <w:t>门</w:t>
            </w:r>
            <w:r>
              <w:rPr>
                <w:rFonts w:hint="default" w:eastAsia="仿宋_GB2312" w:cs="Times New Roman"/>
                <w:i w:val="0"/>
                <w:iCs w:val="0"/>
                <w:color w:val="000000"/>
                <w:kern w:val="0"/>
                <w:sz w:val="28"/>
                <w:szCs w:val="28"/>
                <w:u w:val="none"/>
                <w:lang w:val="en-US" w:eastAsia="zh-CN" w:bidi="ar"/>
              </w:rPr>
              <w:t>类专业</w:t>
            </w:r>
          </w:p>
          <w:p w14:paraId="259040A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lang w:val="en-US" w:eastAsia="zh-CN"/>
              </w:rPr>
            </w:pPr>
            <w:r>
              <w:rPr>
                <w:rFonts w:hint="eastAsia" w:eastAsia="仿宋_GB2312" w:cs="Times New Roman"/>
                <w:i w:val="0"/>
                <w:iCs w:val="0"/>
                <w:color w:val="000000"/>
                <w:kern w:val="0"/>
                <w:sz w:val="28"/>
                <w:szCs w:val="28"/>
                <w:u w:val="none"/>
                <w:lang w:val="en-US" w:eastAsia="zh-CN" w:bidi="ar"/>
              </w:rPr>
              <w:t>专科学历</w:t>
            </w:r>
            <w:r>
              <w:rPr>
                <w:rFonts w:hint="eastAsia" w:ascii="Times New Roman" w:hAnsi="Times New Roman" w:eastAsia="仿宋_GB2312" w:cs="Times New Roman"/>
                <w:i w:val="0"/>
                <w:iCs w:val="0"/>
                <w:color w:val="000000"/>
                <w:kern w:val="0"/>
                <w:sz w:val="28"/>
                <w:szCs w:val="28"/>
                <w:u w:val="none"/>
                <w:lang w:val="en-US" w:eastAsia="zh-CN" w:bidi="ar"/>
              </w:rPr>
              <w:t>：</w:t>
            </w:r>
            <w:r>
              <w:rPr>
                <w:rFonts w:hint="eastAsia" w:eastAsia="仿宋_GB2312" w:cs="Times New Roman"/>
                <w:i w:val="0"/>
                <w:iCs w:val="0"/>
                <w:color w:val="000000"/>
                <w:kern w:val="0"/>
                <w:sz w:val="28"/>
                <w:szCs w:val="28"/>
                <w:u w:val="none"/>
                <w:lang w:val="en-US" w:eastAsia="zh-CN" w:bidi="ar"/>
              </w:rPr>
              <w:t>装备制造大类专业</w:t>
            </w:r>
          </w:p>
        </w:tc>
        <w:tc>
          <w:tcPr>
            <w:tcW w:w="7292" w:type="dxa"/>
            <w:tcBorders>
              <w:tl2br w:val="nil"/>
              <w:tr2bl w:val="nil"/>
            </w:tcBorders>
            <w:shd w:val="clear" w:color="auto" w:fill="auto"/>
            <w:noWrap w:val="0"/>
            <w:vAlign w:val="center"/>
          </w:tcPr>
          <w:p w14:paraId="485352E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黑体" w:cs="Times New Roman"/>
                <w:color w:val="auto"/>
                <w:sz w:val="24"/>
                <w:szCs w:val="22"/>
                <w:highlight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1.</w:t>
            </w:r>
            <w:r>
              <w:rPr>
                <w:rFonts w:hint="default" w:ascii="Times New Roman" w:hAnsi="Times New Roman" w:eastAsia="仿宋_GB2312" w:cs="Times New Roman"/>
                <w:i w:val="0"/>
                <w:iCs w:val="0"/>
                <w:color w:val="000000"/>
                <w:kern w:val="0"/>
                <w:sz w:val="28"/>
                <w:szCs w:val="28"/>
                <w:u w:val="none"/>
                <w:lang w:val="en-US" w:eastAsia="zh-CN" w:bidi="ar"/>
              </w:rPr>
              <w:t>具备</w:t>
            </w:r>
            <w:r>
              <w:rPr>
                <w:rFonts w:hint="default" w:ascii="Times New Roman" w:hAnsi="Times New Roman" w:eastAsia="宋体" w:cs="Times New Roman"/>
                <w:i w:val="0"/>
                <w:iCs w:val="0"/>
                <w:color w:val="000000"/>
                <w:kern w:val="0"/>
                <w:sz w:val="28"/>
                <w:szCs w:val="28"/>
                <w:u w:val="none"/>
                <w:lang w:val="en-US" w:eastAsia="zh-CN" w:bidi="ar"/>
              </w:rPr>
              <w:t>10</w:t>
            </w:r>
            <w:r>
              <w:rPr>
                <w:rFonts w:hint="default" w:ascii="Times New Roman" w:hAnsi="Times New Roman" w:eastAsia="仿宋_GB2312" w:cs="Times New Roman"/>
                <w:i w:val="0"/>
                <w:iCs w:val="0"/>
                <w:color w:val="000000"/>
                <w:kern w:val="0"/>
                <w:sz w:val="28"/>
                <w:szCs w:val="28"/>
                <w:u w:val="none"/>
                <w:lang w:val="en-US" w:eastAsia="zh-CN" w:bidi="ar"/>
              </w:rPr>
              <w:t>年及以上汽车行业从业及管理经验，年龄在</w:t>
            </w:r>
            <w:r>
              <w:rPr>
                <w:rFonts w:hint="default" w:ascii="Times New Roman" w:hAnsi="Times New Roman" w:eastAsia="宋体" w:cs="Times New Roman"/>
                <w:i w:val="0"/>
                <w:iCs w:val="0"/>
                <w:color w:val="000000"/>
                <w:kern w:val="0"/>
                <w:sz w:val="28"/>
                <w:szCs w:val="28"/>
                <w:u w:val="none"/>
                <w:lang w:val="en-US" w:eastAsia="zh-CN" w:bidi="ar"/>
              </w:rPr>
              <w:t>45</w:t>
            </w:r>
            <w:r>
              <w:rPr>
                <w:rFonts w:hint="default" w:ascii="Times New Roman" w:hAnsi="Times New Roman" w:eastAsia="仿宋_GB2312" w:cs="Times New Roman"/>
                <w:i w:val="0"/>
                <w:iCs w:val="0"/>
                <w:color w:val="000000"/>
                <w:kern w:val="0"/>
                <w:sz w:val="28"/>
                <w:szCs w:val="28"/>
                <w:u w:val="none"/>
                <w:lang w:val="en-US" w:eastAsia="zh-CN" w:bidi="ar"/>
              </w:rPr>
              <w:t>周岁及以下；</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2.</w:t>
            </w:r>
            <w:r>
              <w:rPr>
                <w:rFonts w:hint="default" w:ascii="Times New Roman" w:hAnsi="Times New Roman" w:eastAsia="仿宋_GB2312" w:cs="Times New Roman"/>
                <w:i w:val="0"/>
                <w:iCs w:val="0"/>
                <w:color w:val="000000"/>
                <w:kern w:val="0"/>
                <w:sz w:val="28"/>
                <w:szCs w:val="28"/>
                <w:u w:val="none"/>
                <w:lang w:val="en-US" w:eastAsia="zh-CN" w:bidi="ar"/>
              </w:rPr>
              <w:t>熟悉汽车工艺等生产制造流程，具备筹建冲压、焊装车间管理经验；</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w:t>
            </w:r>
            <w:r>
              <w:rPr>
                <w:rFonts w:hint="default" w:ascii="Times New Roman" w:hAnsi="Times New Roman" w:eastAsia="仿宋_GB2312" w:cs="Times New Roman"/>
                <w:i w:val="0"/>
                <w:iCs w:val="0"/>
                <w:color w:val="000000"/>
                <w:kern w:val="0"/>
                <w:sz w:val="28"/>
                <w:szCs w:val="28"/>
                <w:u w:val="none"/>
                <w:lang w:val="en-US" w:eastAsia="zh-CN" w:bidi="ar"/>
              </w:rPr>
              <w:t>具备较强的行业资源及体系资源整合能力，熟悉生产制造厂全流程管理；</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4.</w:t>
            </w:r>
            <w:r>
              <w:rPr>
                <w:rFonts w:hint="default" w:ascii="Times New Roman" w:hAnsi="Times New Roman" w:eastAsia="仿宋_GB2312" w:cs="Times New Roman"/>
                <w:i w:val="0"/>
                <w:iCs w:val="0"/>
                <w:color w:val="000000"/>
                <w:kern w:val="0"/>
                <w:sz w:val="28"/>
                <w:szCs w:val="28"/>
                <w:u w:val="none"/>
                <w:lang w:val="en-US" w:eastAsia="zh-CN" w:bidi="ar"/>
              </w:rPr>
              <w:t>具备良好的组织管理、跨部门沟通协调和</w:t>
            </w:r>
            <w:r>
              <w:rPr>
                <w:rFonts w:hint="eastAsia" w:eastAsia="仿宋_GB2312" w:cs="Times New Roman"/>
                <w:i w:val="0"/>
                <w:iCs w:val="0"/>
                <w:color w:val="000000"/>
                <w:kern w:val="0"/>
                <w:sz w:val="28"/>
                <w:szCs w:val="28"/>
                <w:u w:val="none"/>
                <w:lang w:val="en-US" w:eastAsia="zh-CN" w:bidi="ar"/>
              </w:rPr>
              <w:t>风险控制</w:t>
            </w:r>
            <w:r>
              <w:rPr>
                <w:rFonts w:hint="default" w:ascii="Times New Roman" w:hAnsi="Times New Roman" w:eastAsia="仿宋_GB2312" w:cs="Times New Roman"/>
                <w:i w:val="0"/>
                <w:iCs w:val="0"/>
                <w:color w:val="000000"/>
                <w:kern w:val="0"/>
                <w:sz w:val="28"/>
                <w:szCs w:val="28"/>
                <w:u w:val="none"/>
                <w:lang w:val="en-US" w:eastAsia="zh-CN" w:bidi="ar"/>
              </w:rPr>
              <w:t>能力。</w:t>
            </w:r>
          </w:p>
        </w:tc>
      </w:tr>
      <w:tr w14:paraId="4C232DD8">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1701" w:type="dxa"/>
            <w:tcBorders>
              <w:tl2br w:val="nil"/>
              <w:tr2bl w:val="nil"/>
            </w:tcBorders>
            <w:shd w:val="clear" w:color="auto" w:fill="auto"/>
            <w:noWrap/>
            <w:vAlign w:val="center"/>
          </w:tcPr>
          <w:p w14:paraId="30FDF90F">
            <w:pPr>
              <w:widowControl/>
              <w:spacing w:line="50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eastAsia" w:eastAsia="黑体" w:cs="Times New Roman"/>
                <w:color w:val="auto"/>
                <w:sz w:val="28"/>
                <w:szCs w:val="28"/>
                <w:lang w:val="en-US" w:eastAsia="zh-CN"/>
              </w:rPr>
              <w:t>岗位</w:t>
            </w:r>
          </w:p>
        </w:tc>
        <w:tc>
          <w:tcPr>
            <w:tcW w:w="964" w:type="dxa"/>
            <w:tcBorders>
              <w:tl2br w:val="nil"/>
              <w:tr2bl w:val="nil"/>
            </w:tcBorders>
            <w:shd w:val="clear" w:color="auto" w:fill="auto"/>
            <w:noWrap/>
            <w:vAlign w:val="center"/>
          </w:tcPr>
          <w:p w14:paraId="41526333">
            <w:pPr>
              <w:widowControl/>
              <w:spacing w:line="500" w:lineRule="exact"/>
              <w:jc w:val="center"/>
              <w:textAlignment w:val="center"/>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人数</w:t>
            </w:r>
          </w:p>
        </w:tc>
        <w:tc>
          <w:tcPr>
            <w:tcW w:w="986" w:type="dxa"/>
            <w:tcBorders>
              <w:tl2br w:val="nil"/>
              <w:tr2bl w:val="nil"/>
            </w:tcBorders>
            <w:shd w:val="clear" w:color="auto" w:fill="auto"/>
            <w:noWrap w:val="0"/>
            <w:vAlign w:val="center"/>
          </w:tcPr>
          <w:p w14:paraId="17A9B06A">
            <w:pPr>
              <w:widowControl/>
              <w:spacing w:line="50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学历</w:t>
            </w:r>
          </w:p>
        </w:tc>
        <w:tc>
          <w:tcPr>
            <w:tcW w:w="3750" w:type="dxa"/>
            <w:tcBorders>
              <w:tl2br w:val="nil"/>
              <w:tr2bl w:val="nil"/>
            </w:tcBorders>
            <w:shd w:val="clear" w:color="auto" w:fill="auto"/>
            <w:noWrap w:val="0"/>
            <w:vAlign w:val="center"/>
          </w:tcPr>
          <w:p w14:paraId="01795DFA">
            <w:pPr>
              <w:widowControl/>
              <w:spacing w:line="500" w:lineRule="exact"/>
              <w:jc w:val="center"/>
              <w:textAlignment w:val="center"/>
              <w:rPr>
                <w:rFonts w:hint="eastAsia"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专业要求</w:t>
            </w:r>
          </w:p>
        </w:tc>
        <w:tc>
          <w:tcPr>
            <w:tcW w:w="7292" w:type="dxa"/>
            <w:tcBorders>
              <w:tl2br w:val="nil"/>
              <w:tr2bl w:val="nil"/>
            </w:tcBorders>
            <w:shd w:val="clear" w:color="auto" w:fill="auto"/>
            <w:noWrap w:val="0"/>
            <w:vAlign w:val="center"/>
          </w:tcPr>
          <w:p w14:paraId="6A74F5B6">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岗位要求</w:t>
            </w:r>
          </w:p>
        </w:tc>
      </w:tr>
      <w:tr w14:paraId="15A608F2">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3175" w:hRule="atLeast"/>
          <w:jc w:val="center"/>
        </w:trPr>
        <w:tc>
          <w:tcPr>
            <w:tcW w:w="1701" w:type="dxa"/>
            <w:tcBorders>
              <w:tl2br w:val="nil"/>
              <w:tr2bl w:val="nil"/>
            </w:tcBorders>
            <w:noWrap/>
            <w:vAlign w:val="center"/>
          </w:tcPr>
          <w:p w14:paraId="50DC2D3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再生资源高级管理岗</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（废钢）</w:t>
            </w:r>
          </w:p>
        </w:tc>
        <w:tc>
          <w:tcPr>
            <w:tcW w:w="964" w:type="dxa"/>
            <w:tcBorders>
              <w:tl2br w:val="nil"/>
              <w:tr2bl w:val="nil"/>
            </w:tcBorders>
            <w:noWrap/>
            <w:vAlign w:val="center"/>
          </w:tcPr>
          <w:p w14:paraId="0955B6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eastAsia="仿宋_GB2312" w:cs="Times New Roman"/>
                <w:b w:val="0"/>
                <w:bCs w:val="0"/>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986" w:type="dxa"/>
            <w:tcBorders>
              <w:tl2br w:val="nil"/>
              <w:tr2bl w:val="nil"/>
            </w:tcBorders>
            <w:noWrap w:val="0"/>
            <w:vAlign w:val="center"/>
          </w:tcPr>
          <w:p w14:paraId="40597120">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color w:val="auto"/>
                <w:spacing w:val="-6"/>
                <w:kern w:val="0"/>
                <w:sz w:val="28"/>
                <w:szCs w:val="28"/>
                <w:highlight w:val="yellow"/>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专科及</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以上学历</w:t>
            </w:r>
          </w:p>
        </w:tc>
        <w:tc>
          <w:tcPr>
            <w:tcW w:w="3750" w:type="dxa"/>
            <w:tcBorders>
              <w:tl2br w:val="nil"/>
              <w:tr2bl w:val="nil"/>
            </w:tcBorders>
            <w:noWrap w:val="0"/>
            <w:vAlign w:val="center"/>
          </w:tcPr>
          <w:p w14:paraId="6BD6C66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eastAsia="仿宋_GB2312" w:cs="Times New Roman"/>
                <w:i w:val="0"/>
                <w:iCs w:val="0"/>
                <w:color w:val="000000"/>
                <w:kern w:val="0"/>
                <w:sz w:val="28"/>
                <w:szCs w:val="28"/>
                <w:u w:val="none"/>
                <w:lang w:val="en-US" w:eastAsia="zh-CN" w:bidi="ar"/>
              </w:rPr>
            </w:pPr>
            <w:r>
              <w:rPr>
                <w:rFonts w:hint="eastAsia" w:eastAsia="仿宋_GB2312" w:cs="Times New Roman"/>
                <w:i w:val="0"/>
                <w:iCs w:val="0"/>
                <w:color w:val="000000"/>
                <w:kern w:val="0"/>
                <w:sz w:val="28"/>
                <w:szCs w:val="28"/>
                <w:u w:val="none"/>
                <w:lang w:val="en-US" w:eastAsia="zh-CN" w:bidi="ar"/>
              </w:rPr>
              <w:t>本科及以上学历：</w:t>
            </w:r>
            <w:r>
              <w:rPr>
                <w:rFonts w:hint="default" w:eastAsia="仿宋_GB2312" w:cs="Times New Roman"/>
                <w:i w:val="0"/>
                <w:iCs w:val="0"/>
                <w:color w:val="000000"/>
                <w:kern w:val="0"/>
                <w:sz w:val="28"/>
                <w:szCs w:val="28"/>
                <w:u w:val="none"/>
                <w:lang w:val="en-US" w:eastAsia="zh-CN" w:bidi="ar"/>
              </w:rPr>
              <w:t>材料类</w:t>
            </w:r>
            <w:r>
              <w:rPr>
                <w:rFonts w:hint="eastAsia" w:eastAsia="仿宋_GB2312" w:cs="Times New Roman"/>
                <w:i w:val="0"/>
                <w:iCs w:val="0"/>
                <w:color w:val="000000"/>
                <w:kern w:val="0"/>
                <w:sz w:val="28"/>
                <w:szCs w:val="28"/>
                <w:u w:val="none"/>
                <w:lang w:val="en-US" w:eastAsia="zh-CN" w:bidi="ar"/>
              </w:rPr>
              <w:t>等工学门类</w:t>
            </w:r>
            <w:r>
              <w:rPr>
                <w:rFonts w:hint="default" w:eastAsia="仿宋_GB2312" w:cs="Times New Roman"/>
                <w:i w:val="0"/>
                <w:iCs w:val="0"/>
                <w:color w:val="000000"/>
                <w:kern w:val="0"/>
                <w:sz w:val="28"/>
                <w:szCs w:val="28"/>
                <w:u w:val="none"/>
                <w:lang w:val="en-US" w:eastAsia="zh-CN" w:bidi="ar"/>
              </w:rPr>
              <w:t>、</w:t>
            </w:r>
            <w:r>
              <w:rPr>
                <w:rFonts w:hint="eastAsia" w:eastAsia="仿宋_GB2312" w:cs="Times New Roman"/>
                <w:i w:val="0"/>
                <w:iCs w:val="0"/>
                <w:color w:val="000000"/>
                <w:kern w:val="0"/>
                <w:sz w:val="28"/>
                <w:szCs w:val="28"/>
                <w:u w:val="none"/>
                <w:lang w:val="en-US" w:eastAsia="zh-CN" w:bidi="ar"/>
              </w:rPr>
              <w:t>管理学门类、经济学门类</w:t>
            </w:r>
            <w:r>
              <w:rPr>
                <w:rFonts w:hint="default" w:eastAsia="仿宋_GB2312" w:cs="Times New Roman"/>
                <w:i w:val="0"/>
                <w:iCs w:val="0"/>
                <w:color w:val="000000"/>
                <w:kern w:val="0"/>
                <w:sz w:val="28"/>
                <w:szCs w:val="28"/>
                <w:u w:val="none"/>
                <w:lang w:val="en-US" w:eastAsia="zh-CN" w:bidi="ar"/>
              </w:rPr>
              <w:t>专业</w:t>
            </w:r>
          </w:p>
          <w:p w14:paraId="0B4697B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lang w:val="en-US" w:eastAsia="zh-CN"/>
              </w:rPr>
            </w:pPr>
            <w:r>
              <w:rPr>
                <w:rFonts w:hint="eastAsia" w:eastAsia="仿宋_GB2312" w:cs="Times New Roman"/>
                <w:i w:val="0"/>
                <w:iCs w:val="0"/>
                <w:color w:val="000000"/>
                <w:kern w:val="0"/>
                <w:sz w:val="28"/>
                <w:szCs w:val="28"/>
                <w:u w:val="none"/>
                <w:lang w:val="en-US" w:eastAsia="zh-CN" w:bidi="ar"/>
              </w:rPr>
              <w:t>专科学历</w:t>
            </w:r>
            <w:r>
              <w:rPr>
                <w:rFonts w:hint="eastAsia" w:ascii="Times New Roman" w:hAnsi="Times New Roman" w:eastAsia="仿宋_GB2312" w:cs="Times New Roman"/>
                <w:i w:val="0"/>
                <w:iCs w:val="0"/>
                <w:color w:val="000000"/>
                <w:kern w:val="0"/>
                <w:sz w:val="28"/>
                <w:szCs w:val="28"/>
                <w:u w:val="none"/>
                <w:lang w:val="en-US" w:eastAsia="zh-CN" w:bidi="ar"/>
              </w:rPr>
              <w:t>：</w:t>
            </w:r>
            <w:r>
              <w:rPr>
                <w:rFonts w:hint="eastAsia" w:eastAsia="仿宋_GB2312" w:cs="Times New Roman"/>
                <w:i w:val="0"/>
                <w:iCs w:val="0"/>
                <w:color w:val="000000"/>
                <w:kern w:val="0"/>
                <w:sz w:val="28"/>
                <w:szCs w:val="28"/>
                <w:u w:val="none"/>
                <w:lang w:val="en-US" w:eastAsia="zh-CN" w:bidi="ar"/>
              </w:rPr>
              <w:t>财经商贸大类、装备制造大类</w:t>
            </w:r>
            <w:r>
              <w:rPr>
                <w:rFonts w:hint="default" w:ascii="Times New Roman" w:hAnsi="Times New Roman" w:eastAsia="仿宋_GB2312" w:cs="Times New Roman"/>
                <w:i w:val="0"/>
                <w:iCs w:val="0"/>
                <w:color w:val="000000"/>
                <w:kern w:val="0"/>
                <w:sz w:val="28"/>
                <w:szCs w:val="28"/>
                <w:u w:val="none"/>
                <w:lang w:val="en-US" w:eastAsia="zh-CN" w:bidi="ar"/>
              </w:rPr>
              <w:t>专业</w:t>
            </w:r>
          </w:p>
        </w:tc>
        <w:tc>
          <w:tcPr>
            <w:tcW w:w="7292" w:type="dxa"/>
            <w:tcBorders>
              <w:tl2br w:val="nil"/>
              <w:tr2bl w:val="nil"/>
            </w:tcBorders>
            <w:shd w:val="clear" w:color="auto" w:fill="auto"/>
            <w:noWrap w:val="0"/>
            <w:vAlign w:val="center"/>
          </w:tcPr>
          <w:p w14:paraId="07E761A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i w:val="0"/>
                <w:iCs w:val="0"/>
                <w:color w:val="auto"/>
                <w:spacing w:val="-6"/>
                <w:kern w:val="0"/>
                <w:sz w:val="28"/>
                <w:szCs w:val="28"/>
                <w:highlight w:val="yellow"/>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w:t>
            </w:r>
            <w:r>
              <w:rPr>
                <w:rFonts w:hint="default" w:ascii="Times New Roman" w:hAnsi="Times New Roman" w:eastAsia="仿宋_GB2312" w:cs="Times New Roman"/>
                <w:i w:val="0"/>
                <w:iCs w:val="0"/>
                <w:color w:val="000000"/>
                <w:kern w:val="0"/>
                <w:sz w:val="28"/>
                <w:szCs w:val="28"/>
                <w:u w:val="none"/>
                <w:lang w:val="en-US" w:eastAsia="zh-CN" w:bidi="ar"/>
              </w:rPr>
              <w:t>具备</w:t>
            </w:r>
            <w:r>
              <w:rPr>
                <w:rFonts w:hint="default" w:ascii="Times New Roman" w:hAnsi="Times New Roman" w:eastAsia="宋体" w:cs="Times New Roman"/>
                <w:i w:val="0"/>
                <w:iCs w:val="0"/>
                <w:color w:val="000000"/>
                <w:kern w:val="0"/>
                <w:sz w:val="28"/>
                <w:szCs w:val="28"/>
                <w:u w:val="none"/>
                <w:lang w:val="en-US" w:eastAsia="zh-CN" w:bidi="ar"/>
              </w:rPr>
              <w:t>10</w:t>
            </w:r>
            <w:r>
              <w:rPr>
                <w:rFonts w:hint="default" w:ascii="Times New Roman" w:hAnsi="Times New Roman" w:eastAsia="仿宋_GB2312" w:cs="Times New Roman"/>
                <w:i w:val="0"/>
                <w:iCs w:val="0"/>
                <w:color w:val="000000"/>
                <w:kern w:val="0"/>
                <w:sz w:val="28"/>
                <w:szCs w:val="28"/>
                <w:u w:val="none"/>
                <w:lang w:val="en-US" w:eastAsia="zh-CN" w:bidi="ar"/>
              </w:rPr>
              <w:t>年及以上金属材料行业从业及管理经验，年龄在</w:t>
            </w:r>
            <w:r>
              <w:rPr>
                <w:rFonts w:hint="default" w:ascii="Times New Roman" w:hAnsi="Times New Roman" w:eastAsia="宋体" w:cs="Times New Roman"/>
                <w:i w:val="0"/>
                <w:iCs w:val="0"/>
                <w:color w:val="000000"/>
                <w:kern w:val="0"/>
                <w:sz w:val="28"/>
                <w:szCs w:val="28"/>
                <w:u w:val="none"/>
                <w:lang w:val="en-US" w:eastAsia="zh-CN" w:bidi="ar"/>
              </w:rPr>
              <w:t>45</w:t>
            </w:r>
            <w:r>
              <w:rPr>
                <w:rFonts w:hint="default" w:ascii="Times New Roman" w:hAnsi="Times New Roman" w:eastAsia="仿宋_GB2312" w:cs="Times New Roman"/>
                <w:i w:val="0"/>
                <w:iCs w:val="0"/>
                <w:color w:val="000000"/>
                <w:kern w:val="0"/>
                <w:sz w:val="28"/>
                <w:szCs w:val="28"/>
                <w:u w:val="none"/>
                <w:lang w:val="en-US" w:eastAsia="zh-CN" w:bidi="ar"/>
              </w:rPr>
              <w:t>周岁及以下；</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2.</w:t>
            </w:r>
            <w:r>
              <w:rPr>
                <w:rFonts w:hint="default" w:ascii="Times New Roman" w:hAnsi="Times New Roman" w:eastAsia="仿宋_GB2312" w:cs="Times New Roman"/>
                <w:i w:val="0"/>
                <w:iCs w:val="0"/>
                <w:color w:val="000000"/>
                <w:kern w:val="0"/>
                <w:sz w:val="28"/>
                <w:szCs w:val="28"/>
                <w:u w:val="none"/>
                <w:lang w:val="en-US" w:eastAsia="zh-CN" w:bidi="ar"/>
              </w:rPr>
              <w:t>熟悉钢材行业，具有丰富的厂端资源和客户端资源，具备较强的行业资源及供应链资源整合能力，熟悉钢材再生资源、加工及配送业务全流程管理；</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3.</w:t>
            </w:r>
            <w:r>
              <w:rPr>
                <w:rFonts w:hint="default" w:ascii="Times New Roman" w:hAnsi="Times New Roman" w:eastAsia="仿宋_GB2312" w:cs="Times New Roman"/>
                <w:i w:val="0"/>
                <w:iCs w:val="0"/>
                <w:color w:val="000000"/>
                <w:kern w:val="0"/>
                <w:sz w:val="28"/>
                <w:szCs w:val="28"/>
                <w:u w:val="none"/>
                <w:lang w:val="en-US" w:eastAsia="zh-CN" w:bidi="ar"/>
              </w:rPr>
              <w:t>具备业务风险控制能力，在处理质量异议等方面具有与终端客户独立商务洽谈能力；</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宋体" w:cs="Times New Roman"/>
                <w:i w:val="0"/>
                <w:iCs w:val="0"/>
                <w:color w:val="000000"/>
                <w:kern w:val="0"/>
                <w:sz w:val="28"/>
                <w:szCs w:val="28"/>
                <w:u w:val="none"/>
                <w:lang w:val="en-US" w:eastAsia="zh-CN" w:bidi="ar"/>
              </w:rPr>
              <w:t>4.</w:t>
            </w:r>
            <w:r>
              <w:rPr>
                <w:rFonts w:hint="default" w:ascii="Times New Roman" w:hAnsi="Times New Roman" w:eastAsia="仿宋_GB2312" w:cs="Times New Roman"/>
                <w:i w:val="0"/>
                <w:iCs w:val="0"/>
                <w:color w:val="000000"/>
                <w:kern w:val="0"/>
                <w:sz w:val="28"/>
                <w:szCs w:val="28"/>
                <w:u w:val="none"/>
                <w:lang w:val="en-US" w:eastAsia="zh-CN" w:bidi="ar"/>
              </w:rPr>
              <w:t>具备良好的组织管理、跨部门沟通协调和</w:t>
            </w:r>
            <w:r>
              <w:rPr>
                <w:rFonts w:hint="eastAsia" w:eastAsia="仿宋_GB2312" w:cs="Times New Roman"/>
                <w:i w:val="0"/>
                <w:iCs w:val="0"/>
                <w:color w:val="000000"/>
                <w:kern w:val="0"/>
                <w:sz w:val="28"/>
                <w:szCs w:val="28"/>
                <w:u w:val="none"/>
                <w:lang w:val="en-US" w:eastAsia="zh-CN" w:bidi="ar"/>
              </w:rPr>
              <w:t>风险控制</w:t>
            </w:r>
            <w:r>
              <w:rPr>
                <w:rFonts w:hint="default" w:ascii="Times New Roman" w:hAnsi="Times New Roman" w:eastAsia="仿宋_GB2312" w:cs="Times New Roman"/>
                <w:i w:val="0"/>
                <w:iCs w:val="0"/>
                <w:color w:val="000000"/>
                <w:kern w:val="0"/>
                <w:sz w:val="28"/>
                <w:szCs w:val="28"/>
                <w:u w:val="none"/>
                <w:lang w:val="en-US" w:eastAsia="zh-CN" w:bidi="ar"/>
              </w:rPr>
              <w:t>能力。</w:t>
            </w:r>
          </w:p>
        </w:tc>
      </w:tr>
      <w:tr w14:paraId="683D9608">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756" w:hRule="atLeast"/>
          <w:jc w:val="center"/>
        </w:trPr>
        <w:tc>
          <w:tcPr>
            <w:tcW w:w="1701" w:type="dxa"/>
            <w:tcBorders>
              <w:tl2br w:val="nil"/>
              <w:tr2bl w:val="nil"/>
            </w:tcBorders>
            <w:noWrap/>
            <w:vAlign w:val="center"/>
          </w:tcPr>
          <w:p w14:paraId="03C6982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eastAsia" w:eastAsia="仿宋_GB2312" w:cs="Times New Roman"/>
                <w:color w:val="auto"/>
                <w:kern w:val="2"/>
                <w:sz w:val="28"/>
                <w:szCs w:val="28"/>
                <w:lang w:val="en-US" w:eastAsia="zh-CN" w:bidi="ar-SA"/>
              </w:rPr>
              <w:t>合计</w:t>
            </w:r>
          </w:p>
        </w:tc>
        <w:tc>
          <w:tcPr>
            <w:tcW w:w="964" w:type="dxa"/>
            <w:tcBorders>
              <w:tl2br w:val="nil"/>
              <w:tr2bl w:val="nil"/>
            </w:tcBorders>
            <w:noWrap/>
            <w:vAlign w:val="center"/>
          </w:tcPr>
          <w:p w14:paraId="550FA8F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eastAsia" w:eastAsia="仿宋_GB2312" w:cs="Times New Roman"/>
                <w:color w:val="auto"/>
                <w:kern w:val="2"/>
                <w:sz w:val="28"/>
                <w:szCs w:val="28"/>
                <w:lang w:val="en-US" w:eastAsia="zh-CN" w:bidi="ar-SA"/>
              </w:rPr>
              <w:t>3</w:t>
            </w:r>
          </w:p>
        </w:tc>
        <w:tc>
          <w:tcPr>
            <w:tcW w:w="12028" w:type="dxa"/>
            <w:gridSpan w:val="3"/>
            <w:tcBorders>
              <w:tl2br w:val="nil"/>
              <w:tr2bl w:val="nil"/>
            </w:tcBorders>
            <w:noWrap w:val="0"/>
            <w:vAlign w:val="center"/>
          </w:tcPr>
          <w:p w14:paraId="5A75F8E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p>
        </w:tc>
      </w:tr>
    </w:tbl>
    <w:p w14:paraId="658B70BF">
      <w:pPr>
        <w:pStyle w:val="2"/>
        <w:rPr>
          <w:rFonts w:hint="default"/>
          <w:lang w:val="en-US" w:eastAsia="zh-CN"/>
        </w:rPr>
      </w:pPr>
      <w:bookmarkStart w:id="1" w:name="_GoBack"/>
      <w:bookmarkEnd w:id="1"/>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5EC3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737414">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B737414">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392C"/>
    <w:rsid w:val="01214DD3"/>
    <w:rsid w:val="030B6598"/>
    <w:rsid w:val="03257EFC"/>
    <w:rsid w:val="03E35254"/>
    <w:rsid w:val="04B57180"/>
    <w:rsid w:val="057E3FF7"/>
    <w:rsid w:val="06B238FA"/>
    <w:rsid w:val="06B330D0"/>
    <w:rsid w:val="06CB02AA"/>
    <w:rsid w:val="073019DF"/>
    <w:rsid w:val="07C0508C"/>
    <w:rsid w:val="07F863A6"/>
    <w:rsid w:val="07FD6E40"/>
    <w:rsid w:val="0855465E"/>
    <w:rsid w:val="08D81C50"/>
    <w:rsid w:val="09200A9B"/>
    <w:rsid w:val="096174F4"/>
    <w:rsid w:val="097430E9"/>
    <w:rsid w:val="0A9955DD"/>
    <w:rsid w:val="0B2E2A00"/>
    <w:rsid w:val="0B4E5B32"/>
    <w:rsid w:val="0B5D1655"/>
    <w:rsid w:val="0B8C3FEE"/>
    <w:rsid w:val="0C8A0D6C"/>
    <w:rsid w:val="0CA070BB"/>
    <w:rsid w:val="0CA84B31"/>
    <w:rsid w:val="0CAA5E52"/>
    <w:rsid w:val="0E594522"/>
    <w:rsid w:val="0E721FCA"/>
    <w:rsid w:val="0EBD4EE8"/>
    <w:rsid w:val="0F671128"/>
    <w:rsid w:val="0FD146C5"/>
    <w:rsid w:val="103435D2"/>
    <w:rsid w:val="111379A8"/>
    <w:rsid w:val="12394DAB"/>
    <w:rsid w:val="12461A76"/>
    <w:rsid w:val="13032FFE"/>
    <w:rsid w:val="13723DB8"/>
    <w:rsid w:val="13876CF4"/>
    <w:rsid w:val="13960100"/>
    <w:rsid w:val="13CD4B59"/>
    <w:rsid w:val="143A1AD9"/>
    <w:rsid w:val="15121A08"/>
    <w:rsid w:val="15380571"/>
    <w:rsid w:val="16990BBC"/>
    <w:rsid w:val="16A85139"/>
    <w:rsid w:val="178D35C8"/>
    <w:rsid w:val="18B621AE"/>
    <w:rsid w:val="18BB16A1"/>
    <w:rsid w:val="18DE057F"/>
    <w:rsid w:val="198A0292"/>
    <w:rsid w:val="19A978C6"/>
    <w:rsid w:val="1B765083"/>
    <w:rsid w:val="1BF2106F"/>
    <w:rsid w:val="1C655B61"/>
    <w:rsid w:val="1CCC19A3"/>
    <w:rsid w:val="1D030425"/>
    <w:rsid w:val="1EC34DF7"/>
    <w:rsid w:val="1ED050C7"/>
    <w:rsid w:val="1F1978BF"/>
    <w:rsid w:val="216E4405"/>
    <w:rsid w:val="21E14C3C"/>
    <w:rsid w:val="230C5CE8"/>
    <w:rsid w:val="232C54D7"/>
    <w:rsid w:val="24062738"/>
    <w:rsid w:val="25B1000C"/>
    <w:rsid w:val="260938E7"/>
    <w:rsid w:val="26393298"/>
    <w:rsid w:val="273B6291"/>
    <w:rsid w:val="28412338"/>
    <w:rsid w:val="28DB3C61"/>
    <w:rsid w:val="29E764CF"/>
    <w:rsid w:val="2BD03967"/>
    <w:rsid w:val="2C14521F"/>
    <w:rsid w:val="2C2C0065"/>
    <w:rsid w:val="2D5E35E4"/>
    <w:rsid w:val="2D7D2DD2"/>
    <w:rsid w:val="2ED73D65"/>
    <w:rsid w:val="2EE4671A"/>
    <w:rsid w:val="2F063F34"/>
    <w:rsid w:val="2F1C00CE"/>
    <w:rsid w:val="2FEA5603"/>
    <w:rsid w:val="30E43430"/>
    <w:rsid w:val="31253B77"/>
    <w:rsid w:val="31873B04"/>
    <w:rsid w:val="326275F7"/>
    <w:rsid w:val="33A51F6D"/>
    <w:rsid w:val="343B62B3"/>
    <w:rsid w:val="35F3768A"/>
    <w:rsid w:val="36DA27A8"/>
    <w:rsid w:val="37A14871"/>
    <w:rsid w:val="389D63A8"/>
    <w:rsid w:val="38E0737E"/>
    <w:rsid w:val="3A345513"/>
    <w:rsid w:val="3A5A0C97"/>
    <w:rsid w:val="3C871535"/>
    <w:rsid w:val="3C8F7B8C"/>
    <w:rsid w:val="3D60541C"/>
    <w:rsid w:val="3DFB09DB"/>
    <w:rsid w:val="3E0E3703"/>
    <w:rsid w:val="3E1179C0"/>
    <w:rsid w:val="3E240F36"/>
    <w:rsid w:val="40C758C1"/>
    <w:rsid w:val="41860617"/>
    <w:rsid w:val="42394C56"/>
    <w:rsid w:val="439D59B9"/>
    <w:rsid w:val="43C215B9"/>
    <w:rsid w:val="44C57308"/>
    <w:rsid w:val="44E81B7F"/>
    <w:rsid w:val="451E1B7F"/>
    <w:rsid w:val="452308D6"/>
    <w:rsid w:val="46880E7F"/>
    <w:rsid w:val="48403119"/>
    <w:rsid w:val="48B97EEE"/>
    <w:rsid w:val="492A3363"/>
    <w:rsid w:val="494C3CC5"/>
    <w:rsid w:val="495A25C4"/>
    <w:rsid w:val="49613B5E"/>
    <w:rsid w:val="497A134E"/>
    <w:rsid w:val="497E2BEC"/>
    <w:rsid w:val="49B30409"/>
    <w:rsid w:val="4A9C2817"/>
    <w:rsid w:val="4AA73257"/>
    <w:rsid w:val="4BF16EE6"/>
    <w:rsid w:val="4C6E60C8"/>
    <w:rsid w:val="4EE924C2"/>
    <w:rsid w:val="4F451824"/>
    <w:rsid w:val="50721DDF"/>
    <w:rsid w:val="508466FB"/>
    <w:rsid w:val="51294C87"/>
    <w:rsid w:val="513A1B13"/>
    <w:rsid w:val="51ED25E0"/>
    <w:rsid w:val="52252A81"/>
    <w:rsid w:val="52785404"/>
    <w:rsid w:val="52C43549"/>
    <w:rsid w:val="53574149"/>
    <w:rsid w:val="53D01883"/>
    <w:rsid w:val="55291C33"/>
    <w:rsid w:val="55453388"/>
    <w:rsid w:val="55572526"/>
    <w:rsid w:val="557E6556"/>
    <w:rsid w:val="566D3123"/>
    <w:rsid w:val="585C042A"/>
    <w:rsid w:val="589E6045"/>
    <w:rsid w:val="58EA1556"/>
    <w:rsid w:val="591869A0"/>
    <w:rsid w:val="59834585"/>
    <w:rsid w:val="598A6EAA"/>
    <w:rsid w:val="5A0E566C"/>
    <w:rsid w:val="5A393AB8"/>
    <w:rsid w:val="5A772A8F"/>
    <w:rsid w:val="5A9703A6"/>
    <w:rsid w:val="5B0C3253"/>
    <w:rsid w:val="5B2E7013"/>
    <w:rsid w:val="5B4D6782"/>
    <w:rsid w:val="5C3120C4"/>
    <w:rsid w:val="5D4C2B41"/>
    <w:rsid w:val="5D7A7717"/>
    <w:rsid w:val="5DE40BEF"/>
    <w:rsid w:val="5DF87773"/>
    <w:rsid w:val="5E345B18"/>
    <w:rsid w:val="5FC4513D"/>
    <w:rsid w:val="5FCE29A9"/>
    <w:rsid w:val="609A3376"/>
    <w:rsid w:val="615645AA"/>
    <w:rsid w:val="61A2378E"/>
    <w:rsid w:val="62441AF6"/>
    <w:rsid w:val="62C31490"/>
    <w:rsid w:val="62CB4F38"/>
    <w:rsid w:val="63301201"/>
    <w:rsid w:val="637D2CFA"/>
    <w:rsid w:val="63C812C1"/>
    <w:rsid w:val="6421269A"/>
    <w:rsid w:val="6423643C"/>
    <w:rsid w:val="644C03AF"/>
    <w:rsid w:val="65052757"/>
    <w:rsid w:val="652731B0"/>
    <w:rsid w:val="665E0F78"/>
    <w:rsid w:val="666B6E40"/>
    <w:rsid w:val="678C2521"/>
    <w:rsid w:val="67BB074E"/>
    <w:rsid w:val="67E138F2"/>
    <w:rsid w:val="68112A26"/>
    <w:rsid w:val="687F76D2"/>
    <w:rsid w:val="68EF720B"/>
    <w:rsid w:val="69201173"/>
    <w:rsid w:val="69205616"/>
    <w:rsid w:val="698F3E4E"/>
    <w:rsid w:val="6AC04B8D"/>
    <w:rsid w:val="6AC90441"/>
    <w:rsid w:val="6B2D69E6"/>
    <w:rsid w:val="6BA045B7"/>
    <w:rsid w:val="6BAD1792"/>
    <w:rsid w:val="6D300550"/>
    <w:rsid w:val="6D9762DB"/>
    <w:rsid w:val="6E5B3006"/>
    <w:rsid w:val="6FDE1B3E"/>
    <w:rsid w:val="71064642"/>
    <w:rsid w:val="71CC34BB"/>
    <w:rsid w:val="72506702"/>
    <w:rsid w:val="73247AB1"/>
    <w:rsid w:val="7369114F"/>
    <w:rsid w:val="74277859"/>
    <w:rsid w:val="74500324"/>
    <w:rsid w:val="74D54A68"/>
    <w:rsid w:val="751C300B"/>
    <w:rsid w:val="75C03A54"/>
    <w:rsid w:val="76496F1C"/>
    <w:rsid w:val="77ED0DBA"/>
    <w:rsid w:val="785328FB"/>
    <w:rsid w:val="79DE6A6D"/>
    <w:rsid w:val="7A797473"/>
    <w:rsid w:val="7B436EE6"/>
    <w:rsid w:val="7C834DE1"/>
    <w:rsid w:val="7D274C43"/>
    <w:rsid w:val="7ECC0752"/>
    <w:rsid w:val="7F3F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1"/>
    <w:pPr>
      <w:spacing w:before="54"/>
      <w:ind w:left="2917"/>
      <w:outlineLvl w:val="2"/>
    </w:pPr>
    <w:rPr>
      <w:b/>
      <w:bCs/>
      <w:sz w:val="32"/>
      <w:szCs w:val="32"/>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黑体" w:hAnsi="黑体" w:eastAsia="黑体" w:cs="Times New Roman"/>
      <w:color w:val="000000"/>
      <w:sz w:val="24"/>
      <w:szCs w:val="22"/>
      <w:lang w:val="en-US" w:eastAsia="zh-CN" w:bidi="ar-SA"/>
    </w:rPr>
  </w:style>
  <w:style w:type="paragraph" w:styleId="3">
    <w:name w:val="index 5"/>
    <w:basedOn w:val="1"/>
    <w:next w:val="1"/>
    <w:unhideWhenUsed/>
    <w:qFormat/>
    <w:uiPriority w:val="99"/>
    <w:pPr>
      <w:ind w:left="1680"/>
    </w:pPr>
    <w:rPr>
      <w:rFonts w:ascii="仿宋_GB2312" w:eastAsia="仿宋_GB2312"/>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34"/>
    <w:pPr>
      <w:ind w:firstLine="420" w:firstLineChars="200"/>
    </w:pPr>
  </w:style>
  <w:style w:type="character" w:customStyle="1" w:styleId="10">
    <w:name w:val="font11"/>
    <w:basedOn w:val="8"/>
    <w:qFormat/>
    <w:uiPriority w:val="0"/>
    <w:rPr>
      <w:rFonts w:hint="eastAsia" w:ascii="黑体" w:hAnsi="宋体" w:eastAsia="黑体" w:cs="黑体"/>
      <w:color w:val="000000"/>
      <w:sz w:val="28"/>
      <w:szCs w:val="28"/>
      <w:u w:val="none"/>
    </w:rPr>
  </w:style>
  <w:style w:type="character" w:customStyle="1" w:styleId="11">
    <w:name w:val="font61"/>
    <w:basedOn w:val="8"/>
    <w:qFormat/>
    <w:uiPriority w:val="0"/>
    <w:rPr>
      <w:rFonts w:ascii="仿宋_GB2312" w:eastAsia="仿宋_GB2312" w:cs="仿宋_GB2312"/>
      <w:color w:val="000000"/>
      <w:sz w:val="28"/>
      <w:szCs w:val="28"/>
      <w:u w:val="none"/>
    </w:rPr>
  </w:style>
  <w:style w:type="character" w:customStyle="1" w:styleId="12">
    <w:name w:val="font71"/>
    <w:basedOn w:val="8"/>
    <w:qFormat/>
    <w:uiPriority w:val="0"/>
    <w:rPr>
      <w:rFonts w:hint="eastAsia" w:ascii="仿宋_GB2312" w:eastAsia="仿宋_GB2312" w:cs="仿宋_GB2312"/>
      <w:color w:val="000000"/>
      <w:sz w:val="28"/>
      <w:szCs w:val="28"/>
      <w:u w:val="none"/>
    </w:rPr>
  </w:style>
  <w:style w:type="character" w:customStyle="1" w:styleId="13">
    <w:name w:val="font51"/>
    <w:basedOn w:val="8"/>
    <w:qFormat/>
    <w:uiPriority w:val="0"/>
    <w:rPr>
      <w:rFonts w:hint="default" w:ascii="Times New Roman" w:hAnsi="Times New Roman" w:cs="Times New Roman"/>
      <w:color w:val="000000"/>
      <w:sz w:val="28"/>
      <w:szCs w:val="28"/>
      <w:u w:val="none"/>
    </w:rPr>
  </w:style>
  <w:style w:type="character" w:customStyle="1" w:styleId="14">
    <w:name w:val="font41"/>
    <w:basedOn w:val="8"/>
    <w:qFormat/>
    <w:uiPriority w:val="0"/>
    <w:rPr>
      <w:rFonts w:hint="eastAsia" w:ascii="仿宋_GB2312" w:eastAsia="仿宋_GB2312" w:cs="仿宋_GB2312"/>
      <w:color w:val="000000"/>
      <w:sz w:val="28"/>
      <w:szCs w:val="28"/>
      <w:u w:val="none"/>
    </w:rPr>
  </w:style>
  <w:style w:type="character" w:customStyle="1" w:styleId="15">
    <w:name w:val="font21"/>
    <w:basedOn w:val="8"/>
    <w:qFormat/>
    <w:uiPriority w:val="0"/>
    <w:rPr>
      <w:rFonts w:hint="default" w:ascii="Times New Roman" w:hAnsi="Times New Roman" w:cs="Times New Roman"/>
      <w:color w:val="000000"/>
      <w:sz w:val="28"/>
      <w:szCs w:val="28"/>
      <w:u w:val="none"/>
    </w:rPr>
  </w:style>
  <w:style w:type="character" w:customStyle="1" w:styleId="16">
    <w:name w:val="font31"/>
    <w:basedOn w:val="8"/>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693</Words>
  <Characters>711</Characters>
  <Lines>0</Lines>
  <Paragraphs>0</Paragraphs>
  <TotalTime>1</TotalTime>
  <ScaleCrop>false</ScaleCrop>
  <LinksUpToDate>false</LinksUpToDate>
  <CharactersWithSpaces>711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2025-02-18T00:59:00Z</dcterms:created>
  <dc:creator>Administrator</dc:creator>
  <cp:lastModifiedBy>  </cp:lastModifiedBy>
  <cp:lastPrinted>2025-10-15T03:47:00Z</cp:lastPrinted>
  <dcterms:modified xsi:type="dcterms:W3CDTF">2025-10-16T07:33:12Z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eyJoZGlkIjoiMzUyMDE3OTNmMzk2MDk3MWM5ZGMyY2QyMDg3NzExNWIiLCJ1c2VySWQiOiIzNjMzNTAxNDAifQ==</vt:lpwstr>
  </property>
  <property fmtid="{D5CDD505-2E9C-101B-9397-08002B2CF9AE}" pid="4" name="ICV">
    <vt:lpwstr>AB4D832C7FF44A9C80933D2DCB7E4CEE_13</vt:lpwstr>
  </property>
</Properties>
</file>