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00821">
      <w:pPr>
        <w:pStyle w:val="2"/>
        <w:spacing w:before="54"/>
        <w:ind w:left="23"/>
      </w:pPr>
      <w:bookmarkStart w:id="0" w:name="_GoBack"/>
      <w:bookmarkEnd w:id="0"/>
      <w:r>
        <w:rPr>
          <w:spacing w:val="-7"/>
        </w:rPr>
        <w:t>附件：</w:t>
      </w:r>
    </w:p>
    <w:p w14:paraId="33BEE880">
      <w:pPr>
        <w:spacing w:before="1"/>
        <w:ind w:left="23" w:firstLine="3008" w:firstLineChars="800"/>
        <w:jc w:val="left"/>
        <w:rPr>
          <w:sz w:val="15"/>
        </w:rPr>
      </w:pPr>
      <w:r>
        <w:rPr>
          <w:rFonts w:hint="eastAsia" w:ascii="黑体" w:hAnsi="黑体" w:eastAsia="黑体" w:cs="黑体"/>
          <w:spacing w:val="-12"/>
          <w:sz w:val="40"/>
          <w:szCs w:val="40"/>
        </w:rPr>
        <w:t xml:space="preserve">山东世创发展有限公司 </w:t>
      </w:r>
      <w:r>
        <w:rPr>
          <w:rFonts w:hint="eastAsia" w:ascii="黑体" w:hAnsi="黑体" w:eastAsia="黑体" w:cs="黑体"/>
          <w:spacing w:val="-2"/>
          <w:sz w:val="40"/>
          <w:szCs w:val="40"/>
        </w:rPr>
        <w:t>2025</w:t>
      </w:r>
      <w:r>
        <w:rPr>
          <w:rFonts w:hint="eastAsia" w:ascii="黑体" w:hAnsi="黑体" w:eastAsia="黑体" w:cs="黑体"/>
          <w:spacing w:val="-17"/>
          <w:sz w:val="40"/>
          <w:szCs w:val="40"/>
        </w:rPr>
        <w:t xml:space="preserve"> 年人员招聘计划表</w:t>
      </w:r>
    </w:p>
    <w:tbl>
      <w:tblPr>
        <w:tblStyle w:val="4"/>
        <w:tblW w:w="1418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4"/>
        <w:gridCol w:w="554"/>
        <w:gridCol w:w="1234"/>
        <w:gridCol w:w="995"/>
        <w:gridCol w:w="1869"/>
        <w:gridCol w:w="3802"/>
        <w:gridCol w:w="4223"/>
      </w:tblGrid>
      <w:tr w14:paraId="7757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04" w:type="dxa"/>
            <w:vMerge w:val="restart"/>
          </w:tcPr>
          <w:p w14:paraId="33FA66E4">
            <w:pPr>
              <w:pStyle w:val="7"/>
              <w:spacing w:before="176"/>
              <w:rPr>
                <w:rFonts w:ascii="仿宋_GB2312" w:hAnsi="仿宋_GB2312" w:eastAsia="仿宋_GB2312" w:cs="仿宋_GB2312"/>
                <w:sz w:val="20"/>
                <w:szCs w:val="20"/>
              </w:rPr>
            </w:pPr>
          </w:p>
          <w:p w14:paraId="02C4ECD7">
            <w:pPr>
              <w:pStyle w:val="7"/>
              <w:ind w:left="271"/>
              <w:rPr>
                <w:rFonts w:ascii="仿宋_GB2312" w:hAnsi="仿宋_GB2312" w:eastAsia="仿宋_GB2312" w:cs="仿宋_GB2312"/>
                <w:sz w:val="20"/>
                <w:szCs w:val="20"/>
              </w:rPr>
            </w:pPr>
            <w:r>
              <w:rPr>
                <w:rFonts w:hint="eastAsia" w:ascii="仿宋_GB2312" w:hAnsi="仿宋_GB2312" w:eastAsia="仿宋_GB2312" w:cs="仿宋_GB2312"/>
                <w:spacing w:val="-3"/>
                <w:sz w:val="20"/>
                <w:szCs w:val="20"/>
              </w:rPr>
              <w:t>招聘岗位</w:t>
            </w:r>
          </w:p>
        </w:tc>
        <w:tc>
          <w:tcPr>
            <w:tcW w:w="554" w:type="dxa"/>
            <w:vMerge w:val="restart"/>
          </w:tcPr>
          <w:p w14:paraId="6FA1F237">
            <w:pPr>
              <w:pStyle w:val="7"/>
              <w:spacing w:before="6" w:line="249" w:lineRule="auto"/>
              <w:ind w:left="157" w:right="144"/>
              <w:rPr>
                <w:rFonts w:ascii="仿宋_GB2312" w:hAnsi="仿宋_GB2312" w:eastAsia="仿宋_GB2312" w:cs="仿宋_GB2312"/>
                <w:sz w:val="20"/>
                <w:szCs w:val="20"/>
              </w:rPr>
            </w:pPr>
            <w:r>
              <w:rPr>
                <w:rFonts w:hint="eastAsia" w:ascii="仿宋_GB2312" w:hAnsi="仿宋_GB2312" w:eastAsia="仿宋_GB2312" w:cs="仿宋_GB2312"/>
                <w:spacing w:val="-10"/>
                <w:sz w:val="20"/>
                <w:szCs w:val="20"/>
              </w:rPr>
              <w:t>招聘计</w:t>
            </w:r>
          </w:p>
          <w:p w14:paraId="062B1FBE">
            <w:pPr>
              <w:pStyle w:val="7"/>
              <w:spacing w:line="290" w:lineRule="exact"/>
              <w:ind w:left="157"/>
              <w:rPr>
                <w:rFonts w:ascii="仿宋_GB2312" w:hAnsi="仿宋_GB2312" w:eastAsia="仿宋_GB2312" w:cs="仿宋_GB2312"/>
                <w:sz w:val="20"/>
                <w:szCs w:val="20"/>
              </w:rPr>
            </w:pPr>
            <w:r>
              <w:rPr>
                <w:rFonts w:hint="eastAsia" w:ascii="仿宋_GB2312" w:hAnsi="仿宋_GB2312" w:eastAsia="仿宋_GB2312" w:cs="仿宋_GB2312"/>
                <w:spacing w:val="-10"/>
                <w:sz w:val="20"/>
                <w:szCs w:val="20"/>
              </w:rPr>
              <w:t>划</w:t>
            </w:r>
          </w:p>
        </w:tc>
        <w:tc>
          <w:tcPr>
            <w:tcW w:w="12123" w:type="dxa"/>
            <w:gridSpan w:val="5"/>
          </w:tcPr>
          <w:p w14:paraId="4D8E4D0D">
            <w:pPr>
              <w:pStyle w:val="7"/>
              <w:tabs>
                <w:tab w:val="left" w:pos="730"/>
                <w:tab w:val="left" w:pos="1450"/>
                <w:tab w:val="left" w:pos="2170"/>
              </w:tabs>
              <w:spacing w:before="86"/>
              <w:ind w:left="10"/>
              <w:jc w:val="center"/>
              <w:rPr>
                <w:rFonts w:ascii="仿宋_GB2312" w:hAnsi="仿宋_GB2312" w:eastAsia="仿宋_GB2312" w:cs="仿宋_GB2312"/>
                <w:sz w:val="20"/>
                <w:szCs w:val="20"/>
              </w:rPr>
            </w:pPr>
            <w:r>
              <w:rPr>
                <w:rFonts w:hint="eastAsia" w:ascii="仿宋_GB2312" w:hAnsi="仿宋_GB2312" w:eastAsia="仿宋_GB2312" w:cs="仿宋_GB2312"/>
                <w:spacing w:val="-10"/>
                <w:sz w:val="20"/>
                <w:szCs w:val="20"/>
              </w:rPr>
              <w:t>招</w:t>
            </w:r>
            <w:r>
              <w:rPr>
                <w:rFonts w:hint="eastAsia" w:ascii="仿宋_GB2312" w:hAnsi="仿宋_GB2312" w:eastAsia="仿宋_GB2312" w:cs="仿宋_GB2312"/>
                <w:sz w:val="20"/>
                <w:szCs w:val="20"/>
              </w:rPr>
              <w:tab/>
            </w:r>
            <w:r>
              <w:rPr>
                <w:rFonts w:hint="eastAsia" w:ascii="仿宋_GB2312" w:hAnsi="仿宋_GB2312" w:eastAsia="仿宋_GB2312" w:cs="仿宋_GB2312"/>
                <w:spacing w:val="-10"/>
                <w:sz w:val="20"/>
                <w:szCs w:val="20"/>
              </w:rPr>
              <w:t>聘</w:t>
            </w:r>
            <w:r>
              <w:rPr>
                <w:rFonts w:hint="eastAsia" w:ascii="仿宋_GB2312" w:hAnsi="仿宋_GB2312" w:eastAsia="仿宋_GB2312" w:cs="仿宋_GB2312"/>
                <w:sz w:val="20"/>
                <w:szCs w:val="20"/>
              </w:rPr>
              <w:tab/>
            </w:r>
            <w:r>
              <w:rPr>
                <w:rFonts w:hint="eastAsia" w:ascii="仿宋_GB2312" w:hAnsi="仿宋_GB2312" w:eastAsia="仿宋_GB2312" w:cs="仿宋_GB2312"/>
                <w:spacing w:val="-10"/>
                <w:sz w:val="20"/>
                <w:szCs w:val="20"/>
              </w:rPr>
              <w:t>条</w:t>
            </w:r>
            <w:r>
              <w:rPr>
                <w:rFonts w:hint="eastAsia" w:ascii="仿宋_GB2312" w:hAnsi="仿宋_GB2312" w:eastAsia="仿宋_GB2312" w:cs="仿宋_GB2312"/>
                <w:sz w:val="20"/>
                <w:szCs w:val="20"/>
              </w:rPr>
              <w:tab/>
            </w:r>
            <w:r>
              <w:rPr>
                <w:rFonts w:hint="eastAsia" w:ascii="仿宋_GB2312" w:hAnsi="仿宋_GB2312" w:eastAsia="仿宋_GB2312" w:cs="仿宋_GB2312"/>
                <w:spacing w:val="-10"/>
                <w:sz w:val="20"/>
                <w:szCs w:val="20"/>
              </w:rPr>
              <w:t>件</w:t>
            </w:r>
          </w:p>
        </w:tc>
      </w:tr>
      <w:tr w14:paraId="65F5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504" w:type="dxa"/>
            <w:vMerge w:val="continue"/>
            <w:tcBorders>
              <w:top w:val="nil"/>
            </w:tcBorders>
          </w:tcPr>
          <w:p w14:paraId="5B740F14">
            <w:pPr>
              <w:rPr>
                <w:rFonts w:ascii="仿宋_GB2312" w:hAnsi="仿宋_GB2312" w:eastAsia="仿宋_GB2312" w:cs="仿宋_GB2312"/>
                <w:sz w:val="20"/>
                <w:szCs w:val="20"/>
              </w:rPr>
            </w:pPr>
          </w:p>
        </w:tc>
        <w:tc>
          <w:tcPr>
            <w:tcW w:w="554" w:type="dxa"/>
            <w:vMerge w:val="continue"/>
            <w:tcBorders>
              <w:top w:val="nil"/>
            </w:tcBorders>
          </w:tcPr>
          <w:p w14:paraId="7BB58939">
            <w:pPr>
              <w:rPr>
                <w:rFonts w:ascii="仿宋_GB2312" w:hAnsi="仿宋_GB2312" w:eastAsia="仿宋_GB2312" w:cs="仿宋_GB2312"/>
                <w:sz w:val="20"/>
                <w:szCs w:val="20"/>
              </w:rPr>
            </w:pPr>
          </w:p>
        </w:tc>
        <w:tc>
          <w:tcPr>
            <w:tcW w:w="1234" w:type="dxa"/>
          </w:tcPr>
          <w:p w14:paraId="074ED4A3">
            <w:pPr>
              <w:pStyle w:val="7"/>
              <w:spacing w:before="239"/>
              <w:ind w:left="375"/>
              <w:rPr>
                <w:rFonts w:ascii="仿宋_GB2312" w:hAnsi="仿宋_GB2312" w:eastAsia="仿宋_GB2312" w:cs="仿宋_GB2312"/>
                <w:sz w:val="20"/>
                <w:szCs w:val="20"/>
              </w:rPr>
            </w:pPr>
            <w:r>
              <w:rPr>
                <w:rFonts w:hint="eastAsia" w:ascii="仿宋_GB2312" w:hAnsi="仿宋_GB2312" w:eastAsia="仿宋_GB2312" w:cs="仿宋_GB2312"/>
                <w:spacing w:val="-5"/>
                <w:sz w:val="20"/>
                <w:szCs w:val="20"/>
              </w:rPr>
              <w:t>年龄</w:t>
            </w:r>
          </w:p>
        </w:tc>
        <w:tc>
          <w:tcPr>
            <w:tcW w:w="995" w:type="dxa"/>
          </w:tcPr>
          <w:p w14:paraId="7B8CC9AE">
            <w:pPr>
              <w:pStyle w:val="7"/>
              <w:spacing w:before="239"/>
              <w:ind w:left="255"/>
              <w:rPr>
                <w:rFonts w:ascii="仿宋_GB2312" w:hAnsi="仿宋_GB2312" w:eastAsia="仿宋_GB2312" w:cs="仿宋_GB2312"/>
                <w:sz w:val="20"/>
                <w:szCs w:val="20"/>
              </w:rPr>
            </w:pPr>
            <w:r>
              <w:rPr>
                <w:rFonts w:hint="eastAsia" w:ascii="仿宋_GB2312" w:hAnsi="仿宋_GB2312" w:eastAsia="仿宋_GB2312" w:cs="仿宋_GB2312"/>
                <w:spacing w:val="-5"/>
                <w:sz w:val="20"/>
                <w:szCs w:val="20"/>
              </w:rPr>
              <w:t>学历</w:t>
            </w:r>
          </w:p>
        </w:tc>
        <w:tc>
          <w:tcPr>
            <w:tcW w:w="1869" w:type="dxa"/>
          </w:tcPr>
          <w:p w14:paraId="12D9888D">
            <w:pPr>
              <w:pStyle w:val="7"/>
              <w:spacing w:before="239"/>
              <w:ind w:left="13" w:right="5"/>
              <w:jc w:val="center"/>
              <w:rPr>
                <w:rFonts w:ascii="仿宋_GB2312" w:hAnsi="仿宋_GB2312" w:eastAsia="仿宋_GB2312" w:cs="仿宋_GB2312"/>
                <w:sz w:val="20"/>
                <w:szCs w:val="20"/>
              </w:rPr>
            </w:pPr>
            <w:r>
              <w:rPr>
                <w:rFonts w:hint="eastAsia" w:ascii="仿宋_GB2312" w:hAnsi="仿宋_GB2312" w:eastAsia="仿宋_GB2312" w:cs="仿宋_GB2312"/>
                <w:spacing w:val="-5"/>
                <w:sz w:val="20"/>
                <w:szCs w:val="20"/>
              </w:rPr>
              <w:t>专业</w:t>
            </w:r>
          </w:p>
        </w:tc>
        <w:tc>
          <w:tcPr>
            <w:tcW w:w="3802" w:type="dxa"/>
          </w:tcPr>
          <w:p w14:paraId="6BA1AF13">
            <w:pPr>
              <w:pStyle w:val="7"/>
              <w:spacing w:before="239"/>
              <w:ind w:left="9" w:right="1"/>
              <w:jc w:val="center"/>
              <w:rPr>
                <w:rFonts w:ascii="仿宋_GB2312" w:hAnsi="仿宋_GB2312" w:eastAsia="仿宋_GB2312" w:cs="仿宋_GB2312"/>
                <w:sz w:val="20"/>
                <w:szCs w:val="20"/>
              </w:rPr>
            </w:pPr>
            <w:r>
              <w:rPr>
                <w:rFonts w:hint="eastAsia" w:ascii="仿宋_GB2312" w:hAnsi="仿宋_GB2312" w:eastAsia="仿宋_GB2312" w:cs="仿宋_GB2312"/>
                <w:spacing w:val="-2"/>
                <w:sz w:val="20"/>
                <w:szCs w:val="20"/>
              </w:rPr>
              <w:t>岗位职责</w:t>
            </w:r>
          </w:p>
        </w:tc>
        <w:tc>
          <w:tcPr>
            <w:tcW w:w="4223" w:type="dxa"/>
          </w:tcPr>
          <w:p w14:paraId="437E31E9">
            <w:pPr>
              <w:pStyle w:val="7"/>
              <w:spacing w:before="239"/>
              <w:ind w:left="1735"/>
              <w:rPr>
                <w:rFonts w:ascii="仿宋_GB2312" w:hAnsi="仿宋_GB2312" w:eastAsia="仿宋_GB2312" w:cs="仿宋_GB2312"/>
                <w:sz w:val="20"/>
                <w:szCs w:val="20"/>
              </w:rPr>
            </w:pPr>
            <w:r>
              <w:rPr>
                <w:rFonts w:hint="eastAsia" w:ascii="仿宋_GB2312" w:hAnsi="仿宋_GB2312" w:eastAsia="仿宋_GB2312" w:cs="仿宋_GB2312"/>
                <w:spacing w:val="-2"/>
                <w:sz w:val="20"/>
                <w:szCs w:val="20"/>
              </w:rPr>
              <w:t>岗位要求</w:t>
            </w:r>
          </w:p>
        </w:tc>
      </w:tr>
      <w:tr w14:paraId="5031E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504" w:type="dxa"/>
          </w:tcPr>
          <w:p w14:paraId="47A0D3DA">
            <w:pPr>
              <w:pStyle w:val="7"/>
              <w:spacing w:line="320" w:lineRule="exact"/>
              <w:rPr>
                <w:rFonts w:ascii="仿宋_GB2312" w:hAnsi="仿宋_GB2312" w:eastAsia="仿宋_GB2312" w:cs="仿宋_GB2312"/>
                <w:sz w:val="20"/>
                <w:szCs w:val="20"/>
              </w:rPr>
            </w:pPr>
          </w:p>
          <w:p w14:paraId="2DC75C1C">
            <w:pPr>
              <w:pStyle w:val="7"/>
              <w:spacing w:line="320" w:lineRule="exact"/>
              <w:rPr>
                <w:rFonts w:ascii="仿宋_GB2312" w:hAnsi="仿宋_GB2312" w:eastAsia="仿宋_GB2312" w:cs="仿宋_GB2312"/>
                <w:sz w:val="20"/>
                <w:szCs w:val="20"/>
              </w:rPr>
            </w:pPr>
          </w:p>
          <w:p w14:paraId="3F44A892">
            <w:pPr>
              <w:pStyle w:val="7"/>
              <w:spacing w:line="320" w:lineRule="exact"/>
              <w:rPr>
                <w:rFonts w:ascii="仿宋_GB2312" w:hAnsi="仿宋_GB2312" w:eastAsia="仿宋_GB2312" w:cs="仿宋_GB2312"/>
                <w:sz w:val="20"/>
                <w:szCs w:val="20"/>
              </w:rPr>
            </w:pPr>
          </w:p>
          <w:p w14:paraId="6B87E2AE">
            <w:pPr>
              <w:pStyle w:val="7"/>
              <w:spacing w:line="320" w:lineRule="exact"/>
              <w:ind w:left="11"/>
              <w:jc w:val="center"/>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财务总监</w:t>
            </w:r>
          </w:p>
        </w:tc>
        <w:tc>
          <w:tcPr>
            <w:tcW w:w="554" w:type="dxa"/>
          </w:tcPr>
          <w:p w14:paraId="763D3FA0">
            <w:pPr>
              <w:pStyle w:val="7"/>
              <w:spacing w:line="320" w:lineRule="exact"/>
              <w:rPr>
                <w:rFonts w:ascii="仿宋_GB2312" w:hAnsi="仿宋_GB2312" w:eastAsia="仿宋_GB2312" w:cs="仿宋_GB2312"/>
                <w:sz w:val="20"/>
                <w:szCs w:val="20"/>
              </w:rPr>
            </w:pPr>
          </w:p>
          <w:p w14:paraId="0F1E377E">
            <w:pPr>
              <w:pStyle w:val="7"/>
              <w:spacing w:line="320" w:lineRule="exact"/>
              <w:rPr>
                <w:rFonts w:ascii="仿宋_GB2312" w:hAnsi="仿宋_GB2312" w:eastAsia="仿宋_GB2312" w:cs="仿宋_GB2312"/>
                <w:sz w:val="20"/>
                <w:szCs w:val="20"/>
              </w:rPr>
            </w:pPr>
          </w:p>
          <w:p w14:paraId="4A8AB121">
            <w:pPr>
              <w:pStyle w:val="7"/>
              <w:spacing w:line="320" w:lineRule="exact"/>
              <w:rPr>
                <w:rFonts w:ascii="仿宋_GB2312" w:hAnsi="仿宋_GB2312" w:eastAsia="仿宋_GB2312" w:cs="仿宋_GB2312"/>
                <w:sz w:val="20"/>
                <w:szCs w:val="20"/>
              </w:rPr>
            </w:pPr>
          </w:p>
          <w:p w14:paraId="625F416C">
            <w:pPr>
              <w:pStyle w:val="7"/>
              <w:spacing w:line="320" w:lineRule="exact"/>
              <w:ind w:left="10"/>
              <w:jc w:val="center"/>
              <w:rPr>
                <w:rFonts w:ascii="仿宋_GB2312" w:hAnsi="仿宋_GB2312" w:eastAsia="仿宋_GB2312" w:cs="仿宋_GB2312"/>
                <w:sz w:val="20"/>
                <w:szCs w:val="20"/>
              </w:rPr>
            </w:pPr>
            <w:r>
              <w:rPr>
                <w:rFonts w:hint="eastAsia" w:ascii="仿宋_GB2312" w:hAnsi="仿宋_GB2312" w:eastAsia="仿宋_GB2312" w:cs="仿宋_GB2312"/>
                <w:spacing w:val="-10"/>
                <w:sz w:val="20"/>
                <w:szCs w:val="20"/>
              </w:rPr>
              <w:t>1</w:t>
            </w:r>
          </w:p>
        </w:tc>
        <w:tc>
          <w:tcPr>
            <w:tcW w:w="1234" w:type="dxa"/>
          </w:tcPr>
          <w:p w14:paraId="2DEE80CF">
            <w:pPr>
              <w:pStyle w:val="7"/>
              <w:spacing w:line="320" w:lineRule="exact"/>
              <w:jc w:val="left"/>
              <w:rPr>
                <w:rFonts w:ascii="仿宋_GB2312" w:hAnsi="仿宋_GB2312" w:eastAsia="仿宋_GB2312" w:cs="仿宋_GB2312"/>
                <w:sz w:val="20"/>
                <w:szCs w:val="20"/>
              </w:rPr>
            </w:pPr>
          </w:p>
          <w:p w14:paraId="41492FED">
            <w:pPr>
              <w:pStyle w:val="7"/>
              <w:spacing w:line="320" w:lineRule="exact"/>
              <w:ind w:left="107" w:right="94" w:firstLine="4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45</w:t>
            </w:r>
            <w:r>
              <w:rPr>
                <w:rFonts w:hint="eastAsia" w:ascii="仿宋_GB2312" w:hAnsi="仿宋_GB2312" w:eastAsia="仿宋_GB2312" w:cs="仿宋_GB2312"/>
                <w:spacing w:val="-8"/>
                <w:sz w:val="20"/>
                <w:szCs w:val="20"/>
              </w:rPr>
              <w:t xml:space="preserve"> 周岁及</w:t>
            </w:r>
            <w:r>
              <w:rPr>
                <w:rFonts w:hint="eastAsia" w:ascii="仿宋_GB2312" w:hAnsi="仿宋_GB2312" w:eastAsia="仿宋_GB2312" w:cs="仿宋_GB2312"/>
                <w:spacing w:val="-44"/>
                <w:sz w:val="20"/>
                <w:szCs w:val="20"/>
              </w:rPr>
              <w:t>以下</w:t>
            </w:r>
            <w:r>
              <w:rPr>
                <w:rFonts w:hint="eastAsia" w:ascii="仿宋_GB2312" w:hAnsi="仿宋_GB2312" w:eastAsia="仿宋_GB2312" w:cs="仿宋_GB2312"/>
                <w:spacing w:val="-2"/>
                <w:sz w:val="20"/>
                <w:szCs w:val="20"/>
              </w:rPr>
              <w:t>（1979</w:t>
            </w:r>
            <w:r>
              <w:rPr>
                <w:rFonts w:hint="eastAsia" w:ascii="仿宋_GB2312" w:hAnsi="仿宋_GB2312" w:eastAsia="仿宋_GB2312" w:cs="仿宋_GB2312"/>
                <w:spacing w:val="27"/>
                <w:w w:val="90"/>
                <w:sz w:val="20"/>
                <w:szCs w:val="20"/>
              </w:rPr>
              <w:t>年</w:t>
            </w:r>
            <w:r>
              <w:rPr>
                <w:rFonts w:hint="eastAsia" w:ascii="仿宋_GB2312" w:hAnsi="仿宋_GB2312" w:eastAsia="仿宋_GB2312" w:cs="仿宋_GB2312"/>
                <w:w w:val="90"/>
                <w:sz w:val="20"/>
                <w:szCs w:val="20"/>
              </w:rPr>
              <w:t>10</w:t>
            </w:r>
            <w:r>
              <w:rPr>
                <w:rFonts w:hint="eastAsia" w:ascii="仿宋_GB2312" w:hAnsi="仿宋_GB2312" w:eastAsia="仿宋_GB2312" w:cs="仿宋_GB2312"/>
                <w:spacing w:val="5"/>
                <w:w w:val="90"/>
                <w:sz w:val="20"/>
                <w:szCs w:val="20"/>
              </w:rPr>
              <w:t>月</w:t>
            </w:r>
            <w:r>
              <w:rPr>
                <w:rFonts w:hint="eastAsia" w:ascii="仿宋_GB2312" w:hAnsi="仿宋_GB2312" w:eastAsia="仿宋_GB2312" w:cs="仿宋_GB2312"/>
                <w:w w:val="90"/>
                <w:sz w:val="20"/>
                <w:szCs w:val="20"/>
              </w:rPr>
              <w:t>1</w:t>
            </w:r>
            <w:r>
              <w:rPr>
                <w:rFonts w:hint="eastAsia" w:ascii="仿宋_GB2312" w:hAnsi="仿宋_GB2312" w:eastAsia="仿宋_GB2312" w:cs="仿宋_GB2312"/>
                <w:spacing w:val="-16"/>
                <w:w w:val="90"/>
                <w:sz w:val="20"/>
                <w:szCs w:val="20"/>
              </w:rPr>
              <w:t xml:space="preserve"> </w:t>
            </w:r>
            <w:r>
              <w:rPr>
                <w:rFonts w:hint="eastAsia" w:ascii="仿宋_GB2312" w:hAnsi="仿宋_GB2312" w:eastAsia="仿宋_GB2312" w:cs="仿宋_GB2312"/>
                <w:w w:val="90"/>
                <w:sz w:val="20"/>
                <w:szCs w:val="20"/>
              </w:rPr>
              <w:t>日</w:t>
            </w:r>
            <w:r>
              <w:rPr>
                <w:rFonts w:hint="eastAsia" w:ascii="仿宋_GB2312" w:hAnsi="仿宋_GB2312" w:eastAsia="仿宋_GB2312" w:cs="仿宋_GB2312"/>
                <w:spacing w:val="-4"/>
                <w:sz w:val="20"/>
                <w:szCs w:val="20"/>
              </w:rPr>
              <w:t>后出生）</w:t>
            </w:r>
          </w:p>
        </w:tc>
        <w:tc>
          <w:tcPr>
            <w:tcW w:w="995" w:type="dxa"/>
          </w:tcPr>
          <w:p w14:paraId="48C812C4">
            <w:pPr>
              <w:pStyle w:val="7"/>
              <w:spacing w:line="320" w:lineRule="exact"/>
              <w:jc w:val="left"/>
              <w:rPr>
                <w:rFonts w:ascii="仿宋_GB2312" w:hAnsi="仿宋_GB2312" w:eastAsia="仿宋_GB2312" w:cs="仿宋_GB2312"/>
                <w:sz w:val="20"/>
                <w:szCs w:val="20"/>
              </w:rPr>
            </w:pPr>
          </w:p>
          <w:p w14:paraId="5F86C48B">
            <w:pPr>
              <w:pStyle w:val="7"/>
              <w:spacing w:line="320" w:lineRule="exact"/>
              <w:ind w:left="166" w:right="156"/>
              <w:jc w:val="left"/>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大学本科及以</w:t>
            </w:r>
            <w:r>
              <w:rPr>
                <w:rFonts w:hint="eastAsia" w:ascii="仿宋_GB2312" w:hAnsi="仿宋_GB2312" w:eastAsia="仿宋_GB2312" w:cs="仿宋_GB2312"/>
                <w:spacing w:val="-5"/>
                <w:sz w:val="20"/>
                <w:szCs w:val="20"/>
              </w:rPr>
              <w:t>上学历</w:t>
            </w:r>
          </w:p>
        </w:tc>
        <w:tc>
          <w:tcPr>
            <w:tcW w:w="1869" w:type="dxa"/>
          </w:tcPr>
          <w:p w14:paraId="4783E00A">
            <w:pPr>
              <w:pStyle w:val="7"/>
              <w:spacing w:line="320" w:lineRule="exact"/>
              <w:jc w:val="left"/>
              <w:rPr>
                <w:rFonts w:ascii="仿宋_GB2312" w:hAnsi="仿宋_GB2312" w:eastAsia="仿宋_GB2312" w:cs="仿宋_GB2312"/>
                <w:sz w:val="20"/>
                <w:szCs w:val="20"/>
              </w:rPr>
            </w:pPr>
          </w:p>
          <w:p w14:paraId="47221BDE">
            <w:pPr>
              <w:pStyle w:val="7"/>
              <w:spacing w:line="320" w:lineRule="exact"/>
              <w:jc w:val="left"/>
              <w:rPr>
                <w:rFonts w:ascii="仿宋_GB2312" w:hAnsi="仿宋_GB2312" w:eastAsia="仿宋_GB2312" w:cs="仿宋_GB2312"/>
                <w:sz w:val="20"/>
                <w:szCs w:val="20"/>
              </w:rPr>
            </w:pPr>
          </w:p>
          <w:p w14:paraId="2450D120">
            <w:pPr>
              <w:pStyle w:val="7"/>
              <w:spacing w:line="320" w:lineRule="exact"/>
              <w:ind w:left="455" w:right="111" w:hanging="332"/>
              <w:jc w:val="left"/>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会计、会计学及相关专业</w:t>
            </w:r>
          </w:p>
        </w:tc>
        <w:tc>
          <w:tcPr>
            <w:tcW w:w="3802" w:type="dxa"/>
          </w:tcPr>
          <w:p w14:paraId="76E3E0F4">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1.负责组织区属国有企业会计核算；</w:t>
            </w:r>
          </w:p>
          <w:p w14:paraId="438D73A0">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2.组织建立多层次的财务会计监督体系；</w:t>
            </w:r>
          </w:p>
          <w:p w14:paraId="71BD28B5">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3.组织编制审核企业财务预决算；</w:t>
            </w:r>
          </w:p>
          <w:p w14:paraId="2390CCAB">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4.组织改进和优化企业资金管理体系；</w:t>
            </w:r>
          </w:p>
          <w:p w14:paraId="0B685077">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5.组织建立企业集中统一的财务信息化系统；</w:t>
            </w:r>
          </w:p>
          <w:p w14:paraId="41BECB37">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6.组织研究、涉及和实施税收筹划方案；</w:t>
            </w:r>
          </w:p>
          <w:p w14:paraId="305E10CB">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7.全程参与企业“三重一大”事项中涉及的财务事项决策；</w:t>
            </w:r>
          </w:p>
          <w:p w14:paraId="28B755EC">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8.参与企业的改制上市、并购重组、兼并联合等资本运作事项；</w:t>
            </w:r>
          </w:p>
          <w:p w14:paraId="7D713951">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9.向区国资监管机构及时报告企业重大财务风险及采取措施进行处置的情况，定期报告企业财务状况和经济效益情况；</w:t>
            </w:r>
          </w:p>
          <w:p w14:paraId="2EDC49C1">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10.协助企业党组织抓好财会人员队伍建设；</w:t>
            </w:r>
          </w:p>
          <w:p w14:paraId="27CDDB9B">
            <w:pPr>
              <w:pStyle w:val="7"/>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11.区国资监管机构和区属国有企业董事会要求财务总监履行的其他职责。</w:t>
            </w:r>
          </w:p>
        </w:tc>
        <w:tc>
          <w:tcPr>
            <w:tcW w:w="4223" w:type="dxa"/>
          </w:tcPr>
          <w:p w14:paraId="1B3ECA9E">
            <w:pPr>
              <w:pStyle w:val="7"/>
              <w:spacing w:line="320" w:lineRule="exact"/>
              <w:ind w:right="-15" w:firstLine="320" w:firstLineChars="200"/>
              <w:rPr>
                <w:rFonts w:ascii="仿宋_GB2312" w:hAnsi="仿宋_GB2312" w:eastAsia="仿宋_GB2312" w:cs="仿宋_GB2312"/>
                <w:sz w:val="20"/>
                <w:szCs w:val="20"/>
              </w:rPr>
            </w:pPr>
            <w:r>
              <w:rPr>
                <w:rFonts w:hint="eastAsia" w:ascii="仿宋_GB2312" w:hAnsi="仿宋_GB2312" w:eastAsia="仿宋_GB2312" w:cs="仿宋_GB2312"/>
                <w:spacing w:val="-20"/>
                <w:sz w:val="20"/>
                <w:szCs w:val="20"/>
              </w:rPr>
              <w:t xml:space="preserve"> </w:t>
            </w:r>
            <w:r>
              <w:rPr>
                <w:rFonts w:hint="eastAsia" w:ascii="仿宋_GB2312" w:hAnsi="仿宋_GB2312" w:eastAsia="仿宋_GB2312" w:cs="仿宋_GB2312"/>
                <w:color w:val="000000"/>
                <w:kern w:val="0"/>
                <w:sz w:val="20"/>
                <w:szCs w:val="20"/>
                <w:lang w:bidi="ar"/>
              </w:rPr>
              <w:t>1.具有15年（含）以上企业财务岗位相关工作经历，且有10年（含）以上房地产开发企业财务、融资岗位相关工作经历</w:t>
            </w:r>
            <w:r>
              <w:rPr>
                <w:rFonts w:hint="eastAsia" w:ascii="仿宋_GB2312" w:hAnsi="仿宋_GB2312" w:eastAsia="仿宋_GB2312" w:cs="仿宋_GB2312"/>
                <w:spacing w:val="-2"/>
                <w:sz w:val="20"/>
                <w:szCs w:val="20"/>
              </w:rPr>
              <w:t>，优秀者条件可适当放宽；</w:t>
            </w:r>
          </w:p>
          <w:p w14:paraId="56640A82">
            <w:pPr>
              <w:pStyle w:val="7"/>
              <w:tabs>
                <w:tab w:val="left" w:pos="655"/>
              </w:tabs>
              <w:spacing w:line="320" w:lineRule="exact"/>
              <w:ind w:right="94" w:firstLine="400" w:firstLineChars="20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2.具有高级会计职称或注册会计师证书；</w:t>
            </w:r>
          </w:p>
          <w:p w14:paraId="1A76E287">
            <w:pPr>
              <w:pStyle w:val="7"/>
              <w:tabs>
                <w:tab w:val="left" w:pos="655"/>
              </w:tabs>
              <w:spacing w:line="320" w:lineRule="exact"/>
              <w:ind w:right="94" w:firstLine="400" w:firstLineChars="200"/>
              <w:rPr>
                <w:rFonts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bidi="ar"/>
              </w:rPr>
              <w:t>3.熟练掌握财务、税务、审计相关政策法规和知识技能。</w:t>
            </w:r>
          </w:p>
        </w:tc>
      </w:tr>
      <w:tr w14:paraId="76BB8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4" w:type="dxa"/>
          </w:tcPr>
          <w:p w14:paraId="37580D8A">
            <w:pPr>
              <w:pStyle w:val="7"/>
              <w:spacing w:line="320" w:lineRule="exact"/>
              <w:rPr>
                <w:rFonts w:ascii="仿宋_GB2312" w:hAnsi="仿宋_GB2312" w:eastAsia="仿宋_GB2312" w:cs="仿宋_GB2312"/>
                <w:sz w:val="20"/>
                <w:szCs w:val="20"/>
              </w:rPr>
            </w:pPr>
          </w:p>
          <w:p w14:paraId="56BCAB9E">
            <w:pPr>
              <w:pStyle w:val="7"/>
              <w:spacing w:line="320" w:lineRule="exact"/>
              <w:ind w:left="11"/>
              <w:jc w:val="center"/>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融资经理</w:t>
            </w:r>
          </w:p>
        </w:tc>
        <w:tc>
          <w:tcPr>
            <w:tcW w:w="554" w:type="dxa"/>
          </w:tcPr>
          <w:p w14:paraId="53C69A21">
            <w:pPr>
              <w:pStyle w:val="7"/>
              <w:spacing w:line="320" w:lineRule="exact"/>
              <w:rPr>
                <w:rFonts w:ascii="仿宋_GB2312" w:hAnsi="仿宋_GB2312" w:eastAsia="仿宋_GB2312" w:cs="仿宋_GB2312"/>
                <w:sz w:val="20"/>
                <w:szCs w:val="20"/>
              </w:rPr>
            </w:pPr>
          </w:p>
          <w:p w14:paraId="21E763A3">
            <w:pPr>
              <w:pStyle w:val="7"/>
              <w:spacing w:line="320" w:lineRule="exact"/>
              <w:ind w:left="10"/>
              <w:jc w:val="center"/>
              <w:rPr>
                <w:rFonts w:ascii="仿宋_GB2312" w:hAnsi="仿宋_GB2312" w:eastAsia="仿宋_GB2312" w:cs="仿宋_GB2312"/>
                <w:sz w:val="20"/>
                <w:szCs w:val="20"/>
              </w:rPr>
            </w:pPr>
            <w:r>
              <w:rPr>
                <w:rFonts w:hint="eastAsia" w:ascii="仿宋_GB2312" w:hAnsi="仿宋_GB2312" w:eastAsia="仿宋_GB2312" w:cs="仿宋_GB2312"/>
                <w:spacing w:val="-10"/>
                <w:sz w:val="20"/>
                <w:szCs w:val="20"/>
              </w:rPr>
              <w:t>2</w:t>
            </w:r>
          </w:p>
        </w:tc>
        <w:tc>
          <w:tcPr>
            <w:tcW w:w="1234" w:type="dxa"/>
          </w:tcPr>
          <w:p w14:paraId="4B8191D3">
            <w:pPr>
              <w:pStyle w:val="7"/>
              <w:spacing w:line="320" w:lineRule="exact"/>
              <w:ind w:left="107" w:right="94" w:firstLine="4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40</w:t>
            </w:r>
            <w:r>
              <w:rPr>
                <w:rFonts w:hint="eastAsia" w:ascii="仿宋_GB2312" w:hAnsi="仿宋_GB2312" w:eastAsia="仿宋_GB2312" w:cs="仿宋_GB2312"/>
                <w:spacing w:val="-8"/>
                <w:sz w:val="20"/>
                <w:szCs w:val="20"/>
              </w:rPr>
              <w:t xml:space="preserve"> 周岁及</w:t>
            </w:r>
            <w:r>
              <w:rPr>
                <w:rFonts w:hint="eastAsia" w:ascii="仿宋_GB2312" w:hAnsi="仿宋_GB2312" w:eastAsia="仿宋_GB2312" w:cs="仿宋_GB2312"/>
                <w:spacing w:val="-44"/>
                <w:sz w:val="20"/>
                <w:szCs w:val="20"/>
              </w:rPr>
              <w:t>以下</w:t>
            </w:r>
            <w:r>
              <w:rPr>
                <w:rFonts w:hint="eastAsia" w:ascii="仿宋_GB2312" w:hAnsi="仿宋_GB2312" w:eastAsia="仿宋_GB2312" w:cs="仿宋_GB2312"/>
                <w:spacing w:val="-2"/>
                <w:sz w:val="20"/>
                <w:szCs w:val="20"/>
              </w:rPr>
              <w:t>（1984</w:t>
            </w:r>
            <w:r>
              <w:rPr>
                <w:rFonts w:hint="eastAsia" w:ascii="仿宋_GB2312" w:hAnsi="仿宋_GB2312" w:eastAsia="仿宋_GB2312" w:cs="仿宋_GB2312"/>
                <w:spacing w:val="27"/>
                <w:w w:val="90"/>
                <w:sz w:val="20"/>
                <w:szCs w:val="20"/>
              </w:rPr>
              <w:t>年</w:t>
            </w:r>
            <w:r>
              <w:rPr>
                <w:rFonts w:hint="eastAsia" w:ascii="仿宋_GB2312" w:hAnsi="仿宋_GB2312" w:eastAsia="仿宋_GB2312" w:cs="仿宋_GB2312"/>
                <w:w w:val="90"/>
                <w:sz w:val="20"/>
                <w:szCs w:val="20"/>
              </w:rPr>
              <w:t>10</w:t>
            </w:r>
            <w:r>
              <w:rPr>
                <w:rFonts w:hint="eastAsia" w:ascii="仿宋_GB2312" w:hAnsi="仿宋_GB2312" w:eastAsia="仿宋_GB2312" w:cs="仿宋_GB2312"/>
                <w:spacing w:val="5"/>
                <w:w w:val="90"/>
                <w:sz w:val="20"/>
                <w:szCs w:val="20"/>
              </w:rPr>
              <w:t xml:space="preserve"> 月</w:t>
            </w:r>
            <w:r>
              <w:rPr>
                <w:rFonts w:hint="eastAsia" w:ascii="仿宋_GB2312" w:hAnsi="仿宋_GB2312" w:eastAsia="仿宋_GB2312" w:cs="仿宋_GB2312"/>
                <w:w w:val="90"/>
                <w:sz w:val="20"/>
                <w:szCs w:val="20"/>
              </w:rPr>
              <w:t>1</w:t>
            </w:r>
            <w:r>
              <w:rPr>
                <w:rFonts w:hint="eastAsia" w:ascii="仿宋_GB2312" w:hAnsi="仿宋_GB2312" w:eastAsia="仿宋_GB2312" w:cs="仿宋_GB2312"/>
                <w:spacing w:val="-16"/>
                <w:w w:val="90"/>
                <w:sz w:val="20"/>
                <w:szCs w:val="20"/>
              </w:rPr>
              <w:t xml:space="preserve"> </w:t>
            </w:r>
            <w:r>
              <w:rPr>
                <w:rFonts w:hint="eastAsia" w:ascii="仿宋_GB2312" w:hAnsi="仿宋_GB2312" w:eastAsia="仿宋_GB2312" w:cs="仿宋_GB2312"/>
                <w:w w:val="90"/>
                <w:sz w:val="20"/>
                <w:szCs w:val="20"/>
              </w:rPr>
              <w:t>日</w:t>
            </w:r>
            <w:r>
              <w:rPr>
                <w:rFonts w:hint="eastAsia" w:ascii="仿宋_GB2312" w:hAnsi="仿宋_GB2312" w:eastAsia="仿宋_GB2312" w:cs="仿宋_GB2312"/>
                <w:spacing w:val="-4"/>
                <w:sz w:val="20"/>
                <w:szCs w:val="20"/>
              </w:rPr>
              <w:t>后出生）</w:t>
            </w:r>
          </w:p>
        </w:tc>
        <w:tc>
          <w:tcPr>
            <w:tcW w:w="995" w:type="dxa"/>
          </w:tcPr>
          <w:p w14:paraId="7C3AE501">
            <w:pPr>
              <w:pStyle w:val="7"/>
              <w:spacing w:line="320" w:lineRule="exact"/>
              <w:ind w:left="166" w:right="156"/>
              <w:jc w:val="left"/>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大学本科及以</w:t>
            </w:r>
            <w:r>
              <w:rPr>
                <w:rFonts w:hint="eastAsia" w:ascii="仿宋_GB2312" w:hAnsi="仿宋_GB2312" w:eastAsia="仿宋_GB2312" w:cs="仿宋_GB2312"/>
                <w:spacing w:val="-5"/>
                <w:sz w:val="20"/>
                <w:szCs w:val="20"/>
              </w:rPr>
              <w:t>上学历</w:t>
            </w:r>
          </w:p>
        </w:tc>
        <w:tc>
          <w:tcPr>
            <w:tcW w:w="1869" w:type="dxa"/>
          </w:tcPr>
          <w:p w14:paraId="745E61C1">
            <w:pPr>
              <w:pStyle w:val="7"/>
              <w:spacing w:line="320" w:lineRule="exact"/>
              <w:jc w:val="left"/>
              <w:rPr>
                <w:rFonts w:ascii="仿宋_GB2312" w:hAnsi="仿宋_GB2312" w:eastAsia="仿宋_GB2312" w:cs="仿宋_GB2312"/>
                <w:sz w:val="20"/>
                <w:szCs w:val="20"/>
              </w:rPr>
            </w:pPr>
          </w:p>
          <w:p w14:paraId="1CBF1416">
            <w:pPr>
              <w:pStyle w:val="7"/>
              <w:spacing w:line="320" w:lineRule="exact"/>
              <w:ind w:left="455" w:right="111" w:hanging="332"/>
              <w:jc w:val="left"/>
              <w:rPr>
                <w:rFonts w:ascii="仿宋_GB2312" w:hAnsi="仿宋_GB2312" w:eastAsia="仿宋_GB2312" w:cs="仿宋_GB2312"/>
                <w:sz w:val="20"/>
                <w:szCs w:val="20"/>
              </w:rPr>
            </w:pPr>
            <w:r>
              <w:rPr>
                <w:rFonts w:hint="eastAsia" w:ascii="仿宋_GB2312" w:hAnsi="仿宋_GB2312" w:eastAsia="仿宋_GB2312" w:cs="仿宋_GB2312"/>
                <w:spacing w:val="-2"/>
                <w:sz w:val="20"/>
                <w:szCs w:val="20"/>
              </w:rPr>
              <w:t>金融学、财务管理、会计学及相关专业</w:t>
            </w:r>
          </w:p>
        </w:tc>
        <w:tc>
          <w:tcPr>
            <w:tcW w:w="3802" w:type="dxa"/>
          </w:tcPr>
          <w:p w14:paraId="2102396F">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1.统筹部门所有管理工作，搭建公司融资管理体系和制定相关管理政策；</w:t>
            </w:r>
          </w:p>
          <w:p w14:paraId="0CF9C116">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2.组织编制公司整体融资计划，规划和拓展融资渠道，创新融资模式；</w:t>
            </w:r>
          </w:p>
          <w:p w14:paraId="17FF5531">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3.牵头制定融资计划，设计融资结构和融资模式，匹配不同业务/项目需求；</w:t>
            </w:r>
          </w:p>
          <w:p w14:paraId="35EA7F29">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4.结合债务结构情况，开展融资分析，提供公司债务结构优化建议；</w:t>
            </w:r>
          </w:p>
          <w:p w14:paraId="6FD93755">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5.维护和保持与金融机构良好合作关系；</w:t>
            </w:r>
          </w:p>
          <w:p w14:paraId="018B28EC">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6.拓展多元化融资渠道，研究国家和金融行业政策，挖掘低成本融资机会。</w:t>
            </w:r>
          </w:p>
          <w:p w14:paraId="6B5C2FC8">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7.负责部门团队管理工作；</w:t>
            </w:r>
          </w:p>
          <w:p w14:paraId="7E06C231">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8.上级领导安排的其他工作。</w:t>
            </w:r>
          </w:p>
        </w:tc>
        <w:tc>
          <w:tcPr>
            <w:tcW w:w="4223" w:type="dxa"/>
          </w:tcPr>
          <w:p w14:paraId="4A900A30">
            <w:pPr>
              <w:pStyle w:val="7"/>
              <w:tabs>
                <w:tab w:val="left" w:pos="655"/>
              </w:tabs>
              <w:spacing w:line="320" w:lineRule="exact"/>
              <w:ind w:right="94" w:firstLine="392" w:firstLineChars="200"/>
              <w:rPr>
                <w:rFonts w:ascii="仿宋_GB2312" w:hAnsi="仿宋_GB2312" w:eastAsia="仿宋_GB2312" w:cs="仿宋_GB2312"/>
                <w:sz w:val="20"/>
                <w:szCs w:val="20"/>
              </w:rPr>
            </w:pPr>
            <w:r>
              <w:rPr>
                <w:rFonts w:hint="eastAsia" w:ascii="仿宋_GB2312" w:hAnsi="仿宋_GB2312" w:eastAsia="仿宋_GB2312" w:cs="仿宋_GB2312"/>
                <w:spacing w:val="-2"/>
                <w:sz w:val="20"/>
                <w:szCs w:val="20"/>
              </w:rPr>
              <w:t>具有8年（含）以上审计、财务管理、融资管理工作经历，有5年（含）以上潍坊市各级国有平台公司城投债发行、资本市场运作等实操工作经历的优先，优秀者条件可适当放宽。</w:t>
            </w:r>
          </w:p>
        </w:tc>
      </w:tr>
      <w:tr w14:paraId="41D4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1504" w:type="dxa"/>
          </w:tcPr>
          <w:p w14:paraId="0B8C6B7B">
            <w:pPr>
              <w:pStyle w:val="7"/>
              <w:spacing w:line="320" w:lineRule="exact"/>
              <w:rPr>
                <w:rFonts w:ascii="仿宋_GB2312" w:hAnsi="仿宋_GB2312" w:eastAsia="仿宋_GB2312" w:cs="仿宋_GB2312"/>
                <w:sz w:val="20"/>
                <w:szCs w:val="20"/>
              </w:rPr>
            </w:pPr>
          </w:p>
          <w:p w14:paraId="708505C1">
            <w:pPr>
              <w:pStyle w:val="7"/>
              <w:spacing w:line="320" w:lineRule="exact"/>
              <w:rPr>
                <w:rFonts w:ascii="仿宋_GB2312" w:hAnsi="仿宋_GB2312" w:eastAsia="仿宋_GB2312" w:cs="仿宋_GB2312"/>
                <w:sz w:val="20"/>
                <w:szCs w:val="20"/>
              </w:rPr>
            </w:pPr>
          </w:p>
          <w:p w14:paraId="65416E76">
            <w:pPr>
              <w:pStyle w:val="7"/>
              <w:spacing w:line="320" w:lineRule="exact"/>
              <w:ind w:left="11"/>
              <w:jc w:val="center"/>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财务副经理</w:t>
            </w:r>
          </w:p>
        </w:tc>
        <w:tc>
          <w:tcPr>
            <w:tcW w:w="554" w:type="dxa"/>
          </w:tcPr>
          <w:p w14:paraId="4D4186F7">
            <w:pPr>
              <w:pStyle w:val="7"/>
              <w:spacing w:line="320" w:lineRule="exact"/>
              <w:rPr>
                <w:rFonts w:ascii="仿宋_GB2312" w:hAnsi="仿宋_GB2312" w:eastAsia="仿宋_GB2312" w:cs="仿宋_GB2312"/>
                <w:sz w:val="20"/>
                <w:szCs w:val="20"/>
              </w:rPr>
            </w:pPr>
          </w:p>
          <w:p w14:paraId="13BC5BBF">
            <w:pPr>
              <w:pStyle w:val="7"/>
              <w:spacing w:line="320" w:lineRule="exact"/>
              <w:rPr>
                <w:rFonts w:ascii="仿宋_GB2312" w:hAnsi="仿宋_GB2312" w:eastAsia="仿宋_GB2312" w:cs="仿宋_GB2312"/>
                <w:sz w:val="20"/>
                <w:szCs w:val="20"/>
              </w:rPr>
            </w:pPr>
          </w:p>
          <w:p w14:paraId="2130178B">
            <w:pPr>
              <w:pStyle w:val="7"/>
              <w:spacing w:line="320" w:lineRule="exact"/>
              <w:ind w:left="10"/>
              <w:jc w:val="center"/>
              <w:rPr>
                <w:rFonts w:ascii="仿宋_GB2312" w:hAnsi="仿宋_GB2312" w:eastAsia="仿宋_GB2312" w:cs="仿宋_GB2312"/>
                <w:sz w:val="20"/>
                <w:szCs w:val="20"/>
              </w:rPr>
            </w:pPr>
            <w:r>
              <w:rPr>
                <w:rFonts w:hint="eastAsia" w:ascii="仿宋_GB2312" w:hAnsi="仿宋_GB2312" w:eastAsia="仿宋_GB2312" w:cs="仿宋_GB2312"/>
                <w:spacing w:val="-10"/>
                <w:sz w:val="20"/>
                <w:szCs w:val="20"/>
              </w:rPr>
              <w:t>1</w:t>
            </w:r>
          </w:p>
        </w:tc>
        <w:tc>
          <w:tcPr>
            <w:tcW w:w="1234" w:type="dxa"/>
          </w:tcPr>
          <w:p w14:paraId="0A43A99A">
            <w:pPr>
              <w:pStyle w:val="7"/>
              <w:spacing w:line="320" w:lineRule="exact"/>
              <w:jc w:val="left"/>
              <w:rPr>
                <w:rFonts w:ascii="仿宋_GB2312" w:hAnsi="仿宋_GB2312" w:eastAsia="仿宋_GB2312" w:cs="仿宋_GB2312"/>
                <w:sz w:val="20"/>
                <w:szCs w:val="20"/>
              </w:rPr>
            </w:pPr>
          </w:p>
          <w:p w14:paraId="360EB066">
            <w:pPr>
              <w:pStyle w:val="7"/>
              <w:spacing w:line="320" w:lineRule="exact"/>
              <w:ind w:left="107" w:right="94" w:firstLine="4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40</w:t>
            </w:r>
            <w:r>
              <w:rPr>
                <w:rFonts w:hint="eastAsia" w:ascii="仿宋_GB2312" w:hAnsi="仿宋_GB2312" w:eastAsia="仿宋_GB2312" w:cs="仿宋_GB2312"/>
                <w:spacing w:val="-8"/>
                <w:sz w:val="20"/>
                <w:szCs w:val="20"/>
              </w:rPr>
              <w:t xml:space="preserve"> 周岁及</w:t>
            </w:r>
            <w:r>
              <w:rPr>
                <w:rFonts w:hint="eastAsia" w:ascii="仿宋_GB2312" w:hAnsi="仿宋_GB2312" w:eastAsia="仿宋_GB2312" w:cs="仿宋_GB2312"/>
                <w:spacing w:val="-44"/>
                <w:sz w:val="20"/>
                <w:szCs w:val="20"/>
              </w:rPr>
              <w:t>以下</w:t>
            </w:r>
            <w:r>
              <w:rPr>
                <w:rFonts w:hint="eastAsia" w:ascii="仿宋_GB2312" w:hAnsi="仿宋_GB2312" w:eastAsia="仿宋_GB2312" w:cs="仿宋_GB2312"/>
                <w:spacing w:val="-2"/>
                <w:sz w:val="20"/>
                <w:szCs w:val="20"/>
              </w:rPr>
              <w:t>（1984</w:t>
            </w:r>
            <w:r>
              <w:rPr>
                <w:rFonts w:hint="eastAsia" w:ascii="仿宋_GB2312" w:hAnsi="仿宋_GB2312" w:eastAsia="仿宋_GB2312" w:cs="仿宋_GB2312"/>
                <w:spacing w:val="27"/>
                <w:w w:val="90"/>
                <w:sz w:val="20"/>
                <w:szCs w:val="20"/>
              </w:rPr>
              <w:t>年</w:t>
            </w:r>
            <w:r>
              <w:rPr>
                <w:rFonts w:hint="eastAsia" w:ascii="仿宋_GB2312" w:hAnsi="仿宋_GB2312" w:eastAsia="仿宋_GB2312" w:cs="仿宋_GB2312"/>
                <w:w w:val="90"/>
                <w:sz w:val="20"/>
                <w:szCs w:val="20"/>
              </w:rPr>
              <w:t>10</w:t>
            </w:r>
            <w:r>
              <w:rPr>
                <w:rFonts w:hint="eastAsia" w:ascii="仿宋_GB2312" w:hAnsi="仿宋_GB2312" w:eastAsia="仿宋_GB2312" w:cs="仿宋_GB2312"/>
                <w:spacing w:val="5"/>
                <w:w w:val="90"/>
                <w:sz w:val="20"/>
                <w:szCs w:val="20"/>
              </w:rPr>
              <w:t xml:space="preserve"> 月</w:t>
            </w:r>
            <w:r>
              <w:rPr>
                <w:rFonts w:hint="eastAsia" w:ascii="仿宋_GB2312" w:hAnsi="仿宋_GB2312" w:eastAsia="仿宋_GB2312" w:cs="仿宋_GB2312"/>
                <w:w w:val="90"/>
                <w:sz w:val="20"/>
                <w:szCs w:val="20"/>
              </w:rPr>
              <w:t>1</w:t>
            </w:r>
            <w:r>
              <w:rPr>
                <w:rFonts w:hint="eastAsia" w:ascii="仿宋_GB2312" w:hAnsi="仿宋_GB2312" w:eastAsia="仿宋_GB2312" w:cs="仿宋_GB2312"/>
                <w:spacing w:val="-16"/>
                <w:w w:val="90"/>
                <w:sz w:val="20"/>
                <w:szCs w:val="20"/>
              </w:rPr>
              <w:t xml:space="preserve"> </w:t>
            </w:r>
            <w:r>
              <w:rPr>
                <w:rFonts w:hint="eastAsia" w:ascii="仿宋_GB2312" w:hAnsi="仿宋_GB2312" w:eastAsia="仿宋_GB2312" w:cs="仿宋_GB2312"/>
                <w:w w:val="90"/>
                <w:sz w:val="20"/>
                <w:szCs w:val="20"/>
              </w:rPr>
              <w:t>日</w:t>
            </w:r>
            <w:r>
              <w:rPr>
                <w:rFonts w:hint="eastAsia" w:ascii="仿宋_GB2312" w:hAnsi="仿宋_GB2312" w:eastAsia="仿宋_GB2312" w:cs="仿宋_GB2312"/>
                <w:spacing w:val="-4"/>
                <w:sz w:val="20"/>
                <w:szCs w:val="20"/>
              </w:rPr>
              <w:t>后出生）</w:t>
            </w:r>
          </w:p>
        </w:tc>
        <w:tc>
          <w:tcPr>
            <w:tcW w:w="995" w:type="dxa"/>
          </w:tcPr>
          <w:p w14:paraId="45E28364">
            <w:pPr>
              <w:pStyle w:val="7"/>
              <w:spacing w:line="320" w:lineRule="exact"/>
              <w:jc w:val="left"/>
              <w:rPr>
                <w:rFonts w:ascii="仿宋_GB2312" w:hAnsi="仿宋_GB2312" w:eastAsia="仿宋_GB2312" w:cs="仿宋_GB2312"/>
                <w:sz w:val="20"/>
                <w:szCs w:val="20"/>
              </w:rPr>
            </w:pPr>
          </w:p>
          <w:p w14:paraId="04EC053A">
            <w:pPr>
              <w:pStyle w:val="7"/>
              <w:spacing w:line="320" w:lineRule="exact"/>
              <w:ind w:left="166" w:right="156"/>
              <w:jc w:val="left"/>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研究生及以上</w:t>
            </w:r>
            <w:r>
              <w:rPr>
                <w:rFonts w:hint="eastAsia" w:ascii="仿宋_GB2312" w:hAnsi="仿宋_GB2312" w:eastAsia="仿宋_GB2312" w:cs="仿宋_GB2312"/>
                <w:spacing w:val="-6"/>
                <w:sz w:val="20"/>
                <w:szCs w:val="20"/>
              </w:rPr>
              <w:t>学历</w:t>
            </w:r>
          </w:p>
        </w:tc>
        <w:tc>
          <w:tcPr>
            <w:tcW w:w="1869" w:type="dxa"/>
          </w:tcPr>
          <w:p w14:paraId="367C088A">
            <w:pPr>
              <w:pStyle w:val="7"/>
              <w:spacing w:line="320" w:lineRule="exact"/>
              <w:jc w:val="left"/>
              <w:rPr>
                <w:rFonts w:ascii="仿宋_GB2312" w:hAnsi="仿宋_GB2312" w:eastAsia="仿宋_GB2312" w:cs="仿宋_GB2312"/>
                <w:sz w:val="20"/>
                <w:szCs w:val="20"/>
              </w:rPr>
            </w:pPr>
          </w:p>
          <w:p w14:paraId="5CF7BD32">
            <w:pPr>
              <w:pStyle w:val="7"/>
              <w:spacing w:line="320" w:lineRule="exact"/>
              <w:jc w:val="left"/>
              <w:rPr>
                <w:rFonts w:ascii="仿宋_GB2312" w:hAnsi="仿宋_GB2312" w:eastAsia="仿宋_GB2312" w:cs="仿宋_GB2312"/>
                <w:sz w:val="20"/>
                <w:szCs w:val="20"/>
              </w:rPr>
            </w:pPr>
          </w:p>
          <w:p w14:paraId="19C7D6CD">
            <w:pPr>
              <w:pStyle w:val="7"/>
              <w:spacing w:line="320" w:lineRule="exact"/>
              <w:ind w:left="13"/>
              <w:jc w:val="left"/>
              <w:rPr>
                <w:rFonts w:ascii="仿宋_GB2312" w:hAnsi="仿宋_GB2312" w:eastAsia="仿宋_GB2312" w:cs="仿宋_GB2312"/>
                <w:sz w:val="20"/>
                <w:szCs w:val="20"/>
              </w:rPr>
            </w:pPr>
            <w:r>
              <w:rPr>
                <w:rFonts w:hint="eastAsia" w:ascii="仿宋_GB2312" w:hAnsi="仿宋_GB2312" w:eastAsia="仿宋_GB2312" w:cs="仿宋_GB2312"/>
                <w:spacing w:val="-4"/>
                <w:sz w:val="20"/>
                <w:szCs w:val="20"/>
              </w:rPr>
              <w:t>会计、会计学及相关专业</w:t>
            </w:r>
          </w:p>
        </w:tc>
        <w:tc>
          <w:tcPr>
            <w:tcW w:w="3802" w:type="dxa"/>
          </w:tcPr>
          <w:p w14:paraId="1A8D2911">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1.制定和完善公司财务管理制度、流程及内控体系，参与公司风险控制和合规管理，对财务数据、资金支出、经营合同等业务进行审核，防范重大经营风险和合规性风险；</w:t>
            </w:r>
          </w:p>
          <w:p w14:paraId="366718D9">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2.跟踪税收法律法规变化，掌握税收优惠政策，合理进行税收筹划，防范税收风险；</w:t>
            </w:r>
          </w:p>
          <w:p w14:paraId="0A0AA4F2">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3.严格落实“三重一大”决策流程；科学组织资金收支，合理规划资金路径，规范资金账务处理；</w:t>
            </w:r>
          </w:p>
          <w:p w14:paraId="241C03F3">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4.做好全面预算管理、经营业绩考核工作；</w:t>
            </w:r>
          </w:p>
          <w:p w14:paraId="0D936194">
            <w:pPr>
              <w:pStyle w:val="7"/>
              <w:spacing w:line="320" w:lineRule="exact"/>
              <w:ind w:right="1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5.完成领导交办的其他事项。</w:t>
            </w:r>
          </w:p>
        </w:tc>
        <w:tc>
          <w:tcPr>
            <w:tcW w:w="4223" w:type="dxa"/>
          </w:tcPr>
          <w:p w14:paraId="3D4D4327">
            <w:pPr>
              <w:pStyle w:val="7"/>
              <w:numPr>
                <w:ilvl w:val="0"/>
                <w:numId w:val="1"/>
              </w:numPr>
              <w:tabs>
                <w:tab w:val="left" w:pos="655"/>
              </w:tabs>
              <w:spacing w:line="320" w:lineRule="exact"/>
              <w:ind w:left="108" w:right="94" w:firstLine="328"/>
              <w:rPr>
                <w:rFonts w:ascii="仿宋_GB2312" w:hAnsi="仿宋_GB2312" w:eastAsia="仿宋_GB2312" w:cs="仿宋_GB2312"/>
                <w:spacing w:val="-2"/>
                <w:sz w:val="20"/>
                <w:szCs w:val="20"/>
              </w:rPr>
            </w:pPr>
            <w:r>
              <w:rPr>
                <w:rFonts w:hint="eastAsia" w:ascii="仿宋_GB2312" w:hAnsi="仿宋_GB2312" w:eastAsia="仿宋_GB2312" w:cs="仿宋_GB2312"/>
                <w:color w:val="000000"/>
                <w:kern w:val="0"/>
                <w:sz w:val="20"/>
                <w:szCs w:val="20"/>
                <w:lang w:bidi="ar"/>
              </w:rPr>
              <w:t>具有8年（含）以上国有企业、会计师事务所财务相关工作经历，有3年（含）以上国有企业财务相关管理工作经历的优先，</w:t>
            </w:r>
            <w:r>
              <w:rPr>
                <w:rFonts w:hint="eastAsia" w:ascii="仿宋_GB2312" w:hAnsi="仿宋_GB2312" w:eastAsia="仿宋_GB2312" w:cs="仿宋_GB2312"/>
                <w:spacing w:val="-2"/>
                <w:sz w:val="20"/>
                <w:szCs w:val="20"/>
              </w:rPr>
              <w:t>优秀者条件可适当放宽；</w:t>
            </w:r>
          </w:p>
          <w:p w14:paraId="377670EE">
            <w:pPr>
              <w:pStyle w:val="7"/>
              <w:numPr>
                <w:ilvl w:val="0"/>
                <w:numId w:val="1"/>
              </w:numPr>
              <w:tabs>
                <w:tab w:val="left" w:pos="655"/>
              </w:tabs>
              <w:spacing w:line="320" w:lineRule="exact"/>
              <w:ind w:left="108" w:right="94" w:firstLine="328"/>
              <w:rPr>
                <w:rFonts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bidi="ar"/>
              </w:rPr>
              <w:t>具有高级会计职称或注册会计师证书；</w:t>
            </w:r>
          </w:p>
          <w:p w14:paraId="0CDC2B1A">
            <w:pPr>
              <w:pStyle w:val="7"/>
              <w:numPr>
                <w:ilvl w:val="0"/>
                <w:numId w:val="1"/>
              </w:numPr>
              <w:tabs>
                <w:tab w:val="left" w:pos="655"/>
              </w:tabs>
              <w:spacing w:line="320" w:lineRule="exact"/>
              <w:ind w:left="108" w:right="94" w:firstLine="328"/>
              <w:rPr>
                <w:rFonts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bidi="ar"/>
              </w:rPr>
              <w:t>熟练掌握财务、税务、审计相关政策法规和知识技能。</w:t>
            </w:r>
          </w:p>
        </w:tc>
      </w:tr>
    </w:tbl>
    <w:p w14:paraId="22EEF6BF">
      <w:pPr>
        <w:pStyle w:val="3"/>
        <w:widowControl/>
        <w:shd w:val="clear" w:color="auto" w:fill="FFFFFF"/>
        <w:spacing w:beforeAutospacing="0" w:afterAutospacing="0" w:line="400" w:lineRule="atLeast"/>
        <w:jc w:val="both"/>
        <w:rPr>
          <w:rFonts w:ascii="仿宋_GB2312" w:hAnsi="仿宋_GB2312" w:eastAsia="仿宋_GB2312" w:cs="仿宋_GB2312"/>
          <w:sz w:val="32"/>
          <w:szCs w:val="32"/>
          <w:shd w:val="clear" w:color="auto" w:fill="FFFFFF"/>
        </w:rPr>
        <w:sectPr>
          <w:footerReference r:id="rId3" w:type="default"/>
          <w:type w:val="continuous"/>
          <w:pgSz w:w="16838" w:h="11906" w:orient="landscape"/>
          <w:pgMar w:top="1800" w:right="1440" w:bottom="1800" w:left="1440" w:header="851" w:footer="992" w:gutter="0"/>
          <w:cols w:space="425" w:num="1"/>
          <w:docGrid w:type="lines" w:linePitch="312" w:charSpace="0"/>
        </w:sectPr>
      </w:pPr>
    </w:p>
    <w:p w14:paraId="34035D81"/>
    <w:sectPr>
      <w:footerReference r:id="rId4" w:type="default"/>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7BA7">
    <w:pPr>
      <w:pStyle w:val="2"/>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5066665</wp:posOffset>
              </wp:positionH>
              <wp:positionV relativeFrom="page">
                <wp:posOffset>6794500</wp:posOffset>
              </wp:positionV>
              <wp:extent cx="559435" cy="224790"/>
              <wp:effectExtent l="0" t="0" r="0" b="0"/>
              <wp:wrapNone/>
              <wp:docPr id="1" name="Textbox 19"/>
              <wp:cNvGraphicFramePr/>
              <a:graphic xmlns:a="http://schemas.openxmlformats.org/drawingml/2006/main">
                <a:graphicData uri="http://schemas.microsoft.com/office/word/2010/wordprocessingShape">
                  <wps:wsp>
                    <wps:cNvSpPr txBox="1"/>
                    <wps:spPr>
                      <a:xfrm>
                        <a:off x="0" y="0"/>
                        <a:ext cx="559435" cy="224790"/>
                      </a:xfrm>
                      <a:prstGeom prst="rect">
                        <a:avLst/>
                      </a:prstGeom>
                    </wps:spPr>
                    <wps:txbx>
                      <w:txbxContent>
                        <w:p w14:paraId="32B3F8B9">
                          <w:pPr>
                            <w:spacing w:before="11"/>
                            <w:ind w:left="20"/>
                            <w:jc w:val="left"/>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pacing w:val="-2"/>
                              <w:sz w:val="28"/>
                            </w:rPr>
                            <w:t xml:space="preserve"> </w:t>
                          </w:r>
                          <w:r>
                            <w:rPr>
                              <w:rFonts w:ascii="Times New Roman" w:hAnsi="Times New Roman"/>
                              <w:spacing w:val="-10"/>
                              <w:sz w:val="28"/>
                            </w:rPr>
                            <w:t>—</w:t>
                          </w:r>
                        </w:p>
                      </w:txbxContent>
                    </wps:txbx>
                    <wps:bodyPr wrap="square" lIns="0" tIns="0" rIns="0" bIns="0" rtlCol="0">
                      <a:noAutofit/>
                    </wps:bodyPr>
                  </wps:wsp>
                </a:graphicData>
              </a:graphic>
            </wp:anchor>
          </w:drawing>
        </mc:Choice>
        <mc:Fallback>
          <w:pict>
            <v:shape id="Textbox 19" o:spid="_x0000_s1026" o:spt="202" type="#_x0000_t202" style="position:absolute;left:0pt;margin-left:398.95pt;margin-top:535pt;height:17.7pt;width:44.05pt;mso-position-horizontal-relative:page;mso-position-vertical-relative:page;z-index:-251657216;mso-width-relative:page;mso-height-relative:page;" filled="f" stroked="f" coordsize="21600,21600" o:gfxdata="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0fpZ2gAAAA0BAAAPAAAAAAAAAAEAIAAAACIAAABkcnMvZG93bnJldi54bWxQSwECFAAUAAAA&#10;CACHTuJAGx3pqbMBAAB0AwAADgAAAAAAAAABACAAAAApAQAAZHJzL2Uyb0RvYy54bWxQSwUGAAAA&#10;AAYABgBZAQAATgUAAAAA&#10;">
              <v:fill on="f" focussize="0,0"/>
              <v:stroke on="f"/>
              <v:imagedata o:title=""/>
              <o:lock v:ext="edit" aspectratio="f"/>
              <v:textbox inset="0mm,0mm,0mm,0mm">
                <w:txbxContent>
                  <w:p w14:paraId="32B3F8B9">
                    <w:pPr>
                      <w:spacing w:before="11"/>
                      <w:ind w:left="20"/>
                      <w:jc w:val="left"/>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pacing w:val="-2"/>
                        <w:sz w:val="28"/>
                      </w:rPr>
                      <w:t xml:space="preserve"> </w:t>
                    </w:r>
                    <w:r>
                      <w:rPr>
                        <w:rFonts w:ascii="Times New Roman" w:hAnsi="Times New Roman"/>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56E6">
    <w:pPr>
      <w:pStyle w:val="2"/>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5066665</wp:posOffset>
              </wp:positionH>
              <wp:positionV relativeFrom="page">
                <wp:posOffset>6794500</wp:posOffset>
              </wp:positionV>
              <wp:extent cx="559435" cy="224790"/>
              <wp:effectExtent l="0" t="0" r="0" b="0"/>
              <wp:wrapNone/>
              <wp:docPr id="19" name="Textbox 19"/>
              <wp:cNvGraphicFramePr/>
              <a:graphic xmlns:a="http://schemas.openxmlformats.org/drawingml/2006/main">
                <a:graphicData uri="http://schemas.microsoft.com/office/word/2010/wordprocessingShape">
                  <wps:wsp>
                    <wps:cNvSpPr txBox="1"/>
                    <wps:spPr>
                      <a:xfrm>
                        <a:off x="0" y="0"/>
                        <a:ext cx="559435" cy="224790"/>
                      </a:xfrm>
                      <a:prstGeom prst="rect">
                        <a:avLst/>
                      </a:prstGeom>
                    </wps:spPr>
                    <wps:txbx>
                      <w:txbxContent>
                        <w:p w14:paraId="0F97B487">
                          <w:pPr>
                            <w:spacing w:before="11"/>
                            <w:ind w:left="20"/>
                            <w:jc w:val="left"/>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8</w:t>
                          </w:r>
                          <w:r>
                            <w:rPr>
                              <w:rFonts w:ascii="Times New Roman" w:hAnsi="Times New Roman"/>
                              <w:sz w:val="28"/>
                            </w:rPr>
                            <w:fldChar w:fldCharType="end"/>
                          </w:r>
                          <w:r>
                            <w:rPr>
                              <w:rFonts w:ascii="Times New Roman" w:hAnsi="Times New Roman"/>
                              <w:spacing w:val="-2"/>
                              <w:sz w:val="28"/>
                            </w:rPr>
                            <w:t xml:space="preserve"> </w:t>
                          </w:r>
                          <w:r>
                            <w:rPr>
                              <w:rFonts w:ascii="Times New Roman" w:hAnsi="Times New Roman"/>
                              <w:spacing w:val="-10"/>
                              <w:sz w:val="28"/>
                            </w:rPr>
                            <w:t>—</w:t>
                          </w:r>
                        </w:p>
                      </w:txbxContent>
                    </wps:txbx>
                    <wps:bodyPr wrap="square" lIns="0" tIns="0" rIns="0" bIns="0" rtlCol="0">
                      <a:noAutofit/>
                    </wps:bodyPr>
                  </wps:wsp>
                </a:graphicData>
              </a:graphic>
            </wp:anchor>
          </w:drawing>
        </mc:Choice>
        <mc:Fallback>
          <w:pict>
            <v:shape id="Textbox 19" o:spid="_x0000_s1026" o:spt="202" type="#_x0000_t202" style="position:absolute;left:0pt;margin-left:398.95pt;margin-top:535pt;height:17.7pt;width:44.05pt;mso-position-horizontal-relative:page;mso-position-vertical-relative:page;z-index:-251656192;mso-width-relative:page;mso-height-relative:page;" filled="f" stroked="f" coordsize="21600,21600" o:gfxdata="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H6WdoAAAANAQAADwAAAAAAAAABACAAAAAiAAAAZHJzL2Rvd25yZXYueG1sUEsBAhQAFAAA&#10;AAgAh07iQPT44A60AQAAdQMAAA4AAAAAAAAAAQAgAAAAKQEAAGRycy9lMm9Eb2MueG1sUEsFBgAA&#10;AAAGAAYAWQEAAE8FAAAAAA==&#10;">
              <v:fill on="f" focussize="0,0"/>
              <v:stroke on="f"/>
              <v:imagedata o:title=""/>
              <o:lock v:ext="edit" aspectratio="f"/>
              <v:textbox inset="0mm,0mm,0mm,0mm">
                <w:txbxContent>
                  <w:p w14:paraId="0F97B487">
                    <w:pPr>
                      <w:spacing w:before="11"/>
                      <w:ind w:left="20"/>
                      <w:jc w:val="left"/>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8</w:t>
                    </w:r>
                    <w:r>
                      <w:rPr>
                        <w:rFonts w:ascii="Times New Roman" w:hAnsi="Times New Roman"/>
                        <w:sz w:val="28"/>
                      </w:rPr>
                      <w:fldChar w:fldCharType="end"/>
                    </w:r>
                    <w:r>
                      <w:rPr>
                        <w:rFonts w:ascii="Times New Roman" w:hAnsi="Times New Roman"/>
                        <w:spacing w:val="-2"/>
                        <w:sz w:val="28"/>
                      </w:rPr>
                      <w:t xml:space="preserve"> </w:t>
                    </w:r>
                    <w:r>
                      <w:rPr>
                        <w:rFonts w:ascii="Times New Roman" w:hAnsi="Times New Roman"/>
                        <w:spacing w:val="-10"/>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decimal"/>
      <w:lvlText w:val="%1."/>
      <w:lvlJc w:val="left"/>
      <w:pPr>
        <w:ind w:left="659" w:hanging="222"/>
        <w:jc w:val="left"/>
      </w:pPr>
      <w:rPr>
        <w:rFonts w:hint="default" w:ascii="宋体" w:hAnsi="宋体" w:eastAsia="宋体" w:cs="宋体"/>
        <w:b w:val="0"/>
        <w:bCs w:val="0"/>
        <w:i w:val="0"/>
        <w:iCs w:val="0"/>
        <w:spacing w:val="-1"/>
        <w:w w:val="100"/>
        <w:sz w:val="20"/>
        <w:szCs w:val="20"/>
        <w:lang w:val="en-US" w:eastAsia="zh-CN" w:bidi="ar-SA"/>
      </w:rPr>
    </w:lvl>
    <w:lvl w:ilvl="1" w:tentative="0">
      <w:start w:val="0"/>
      <w:numFmt w:val="bullet"/>
      <w:lvlText w:val="•"/>
      <w:lvlJc w:val="left"/>
      <w:pPr>
        <w:ind w:left="1132" w:hanging="222"/>
      </w:pPr>
      <w:rPr>
        <w:rFonts w:hint="default"/>
        <w:lang w:val="en-US" w:eastAsia="zh-CN" w:bidi="ar-SA"/>
      </w:rPr>
    </w:lvl>
    <w:lvl w:ilvl="2" w:tentative="0">
      <w:start w:val="0"/>
      <w:numFmt w:val="bullet"/>
      <w:lvlText w:val="•"/>
      <w:lvlJc w:val="left"/>
      <w:pPr>
        <w:ind w:left="1604" w:hanging="222"/>
      </w:pPr>
      <w:rPr>
        <w:rFonts w:hint="default"/>
        <w:lang w:val="en-US" w:eastAsia="zh-CN" w:bidi="ar-SA"/>
      </w:rPr>
    </w:lvl>
    <w:lvl w:ilvl="3" w:tentative="0">
      <w:start w:val="0"/>
      <w:numFmt w:val="bullet"/>
      <w:lvlText w:val="•"/>
      <w:lvlJc w:val="left"/>
      <w:pPr>
        <w:ind w:left="2076" w:hanging="222"/>
      </w:pPr>
      <w:rPr>
        <w:rFonts w:hint="default"/>
        <w:lang w:val="en-US" w:eastAsia="zh-CN" w:bidi="ar-SA"/>
      </w:rPr>
    </w:lvl>
    <w:lvl w:ilvl="4" w:tentative="0">
      <w:start w:val="0"/>
      <w:numFmt w:val="bullet"/>
      <w:lvlText w:val="•"/>
      <w:lvlJc w:val="left"/>
      <w:pPr>
        <w:ind w:left="2548" w:hanging="222"/>
      </w:pPr>
      <w:rPr>
        <w:rFonts w:hint="default"/>
        <w:lang w:val="en-US" w:eastAsia="zh-CN" w:bidi="ar-SA"/>
      </w:rPr>
    </w:lvl>
    <w:lvl w:ilvl="5" w:tentative="0">
      <w:start w:val="0"/>
      <w:numFmt w:val="bullet"/>
      <w:lvlText w:val="•"/>
      <w:lvlJc w:val="left"/>
      <w:pPr>
        <w:ind w:left="3021" w:hanging="222"/>
      </w:pPr>
      <w:rPr>
        <w:rFonts w:hint="default"/>
        <w:lang w:val="en-US" w:eastAsia="zh-CN" w:bidi="ar-SA"/>
      </w:rPr>
    </w:lvl>
    <w:lvl w:ilvl="6" w:tentative="0">
      <w:start w:val="0"/>
      <w:numFmt w:val="bullet"/>
      <w:lvlText w:val="•"/>
      <w:lvlJc w:val="left"/>
      <w:pPr>
        <w:ind w:left="3493" w:hanging="222"/>
      </w:pPr>
      <w:rPr>
        <w:rFonts w:hint="default"/>
        <w:lang w:val="en-US" w:eastAsia="zh-CN" w:bidi="ar-SA"/>
      </w:rPr>
    </w:lvl>
    <w:lvl w:ilvl="7" w:tentative="0">
      <w:start w:val="0"/>
      <w:numFmt w:val="bullet"/>
      <w:lvlText w:val="•"/>
      <w:lvlJc w:val="left"/>
      <w:pPr>
        <w:ind w:left="3965" w:hanging="222"/>
      </w:pPr>
      <w:rPr>
        <w:rFonts w:hint="default"/>
        <w:lang w:val="en-US" w:eastAsia="zh-CN" w:bidi="ar-SA"/>
      </w:rPr>
    </w:lvl>
    <w:lvl w:ilvl="8" w:tentative="0">
      <w:start w:val="0"/>
      <w:numFmt w:val="bullet"/>
      <w:lvlText w:val="•"/>
      <w:lvlJc w:val="left"/>
      <w:pPr>
        <w:ind w:left="4437" w:hanging="222"/>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24D95"/>
    <w:rsid w:val="009A75B4"/>
    <w:rsid w:val="00A87C33"/>
    <w:rsid w:val="00BD2F3F"/>
    <w:rsid w:val="00EB2729"/>
    <w:rsid w:val="111A353B"/>
    <w:rsid w:val="172779EC"/>
    <w:rsid w:val="30E24D95"/>
    <w:rsid w:val="3D8B77B2"/>
    <w:rsid w:val="3DD527BA"/>
    <w:rsid w:val="6031230F"/>
    <w:rsid w:val="669B351B"/>
    <w:rsid w:val="7CFD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1124</Words>
  <Characters>1173</Characters>
  <Lines>9</Lines>
  <Paragraphs>2</Paragraphs>
  <TotalTime>0</TotalTime>
  <ScaleCrop>false</ScaleCrop>
  <LinksUpToDate>false</LinksUpToDate>
  <CharactersWithSpaces>1187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2025-10-13T09:42:00Z</dcterms:created>
  <dc:creator>田甜</dc:creator>
  <cp:lastModifiedBy>皮皮婷</cp:lastModifiedBy>
  <dcterms:modified xsi:type="dcterms:W3CDTF">2025-10-13T10:41:10Z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0CE1412448FE44B3A1891489357A56DD_13</vt:lpwstr>
  </property>
  <property fmtid="{D5CDD505-2E9C-101B-9397-08002B2CF9AE}" pid="4" name="KSOTemplateDocerSaveRecord">
    <vt:lpwstr>eyJoZGlkIjoiMjA4ODQzOWQzZmFmODZhYmY0ZDUwYTAwMDRmMWQ5YzgiLCJ1c2VySWQiOiIyODgzMDQ1NTQifQ==</vt:lpwstr>
  </property>
</Properties>
</file>