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57" w:rsidRDefault="00105357" w:rsidP="00105357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rPr>
          <w:rFonts w:ascii="黑体" w:eastAsia="黑体" w:hAnsi="黑体" w:cs="黑体"/>
          <w:szCs w:val="40"/>
        </w:rPr>
      </w:pPr>
      <w:r>
        <w:rPr>
          <w:rFonts w:ascii="黑体" w:eastAsia="黑体" w:hAnsi="黑体" w:cs="黑体" w:hint="eastAsia"/>
          <w:szCs w:val="40"/>
        </w:rPr>
        <w:t>附件1</w:t>
      </w:r>
    </w:p>
    <w:p w:rsidR="00105357" w:rsidRDefault="00105357" w:rsidP="00105357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嘉兴市秀洲文化旅游投资发展有限公司</w:t>
      </w:r>
    </w:p>
    <w:p w:rsidR="00105357" w:rsidRDefault="00105357" w:rsidP="00105357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公开招聘工作人员岗位要求表</w:t>
      </w:r>
    </w:p>
    <w:tbl>
      <w:tblPr>
        <w:tblpPr w:leftFromText="180" w:rightFromText="180" w:vertAnchor="text" w:horzAnchor="page" w:tblpXSpec="center" w:tblpY="272"/>
        <w:tblOverlap w:val="never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340"/>
        <w:gridCol w:w="1275"/>
        <w:gridCol w:w="1610"/>
        <w:gridCol w:w="795"/>
        <w:gridCol w:w="1742"/>
        <w:gridCol w:w="2637"/>
        <w:gridCol w:w="1849"/>
      </w:tblGrid>
      <w:tr w:rsidR="00105357" w:rsidTr="00105357">
        <w:trPr>
          <w:trHeight w:val="315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岗位代码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其他要求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用工方式</w:t>
            </w:r>
          </w:p>
        </w:tc>
      </w:tr>
      <w:tr w:rsidR="00105357" w:rsidTr="00105357">
        <w:trPr>
          <w:trHeight w:val="315"/>
          <w:jc w:val="center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05357" w:rsidTr="00105357">
        <w:trPr>
          <w:trHeight w:val="1190"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导游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专科及以上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1.取得中华人民共和国导游员资格证书（电子导游证）；2.能适应经常性出差、外派和带团；3.具有计调能力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357" w:rsidRDefault="00105357" w:rsidP="00BB02A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与秀宏旅游公司签订劳动合同，属合同制员工</w:t>
            </w:r>
          </w:p>
        </w:tc>
      </w:tr>
    </w:tbl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</w:p>
    <w:p w:rsidR="00105357" w:rsidRDefault="00105357" w:rsidP="00105357">
      <w:pPr>
        <w:widowControl/>
        <w:spacing w:line="300" w:lineRule="exact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>
        <w:rPr>
          <w:rFonts w:ascii="仿宋_GB2312" w:hAnsi="仿宋_GB2312" w:cs="仿宋_GB2312" w:hint="eastAsia"/>
          <w:kern w:val="0"/>
          <w:sz w:val="21"/>
          <w:szCs w:val="21"/>
          <w:lang w:bidi="ar"/>
        </w:rPr>
        <w:t>备注：1.从业经历计算截止日期为2025年 10 月 9 日；</w:t>
      </w:r>
      <w:r>
        <w:rPr>
          <w:rFonts w:ascii="仿宋_GB2312" w:hAnsi="仿宋_GB2312" w:cs="仿宋_GB2312" w:hint="eastAsia"/>
          <w:kern w:val="0"/>
          <w:sz w:val="21"/>
          <w:szCs w:val="21"/>
          <w:lang w:bidi="ar"/>
        </w:rPr>
        <w:tab/>
      </w:r>
    </w:p>
    <w:p w:rsidR="00105357" w:rsidRDefault="00105357" w:rsidP="00105357">
      <w:pPr>
        <w:widowControl/>
        <w:spacing w:line="300" w:lineRule="exact"/>
        <w:ind w:firstLineChars="300" w:firstLine="630"/>
        <w:jc w:val="left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>
        <w:rPr>
          <w:rFonts w:ascii="仿宋_GB2312" w:hAnsi="仿宋_GB2312" w:cs="仿宋_GB2312" w:hint="eastAsia"/>
          <w:kern w:val="0"/>
          <w:sz w:val="21"/>
          <w:szCs w:val="21"/>
          <w:lang w:bidi="ar"/>
        </w:rPr>
        <w:t>2.专业技术资格或执（职）业资格证书（以发文时间或发证时间为准），统一截止至2025年 10 月9 日；</w:t>
      </w:r>
    </w:p>
    <w:p w:rsidR="00105357" w:rsidRDefault="00105357" w:rsidP="00105357">
      <w:pPr>
        <w:widowControl/>
        <w:spacing w:line="300" w:lineRule="exact"/>
        <w:ind w:firstLineChars="300" w:firstLine="630"/>
        <w:textAlignment w:val="center"/>
        <w:rPr>
          <w:rFonts w:ascii="仿宋_GB2312" w:hAnsi="仿宋_GB2312" w:cs="仿宋_GB2312"/>
          <w:kern w:val="0"/>
          <w:sz w:val="21"/>
          <w:szCs w:val="21"/>
          <w:lang w:bidi="ar"/>
        </w:rPr>
      </w:pPr>
      <w:r>
        <w:rPr>
          <w:rFonts w:ascii="仿宋_GB2312" w:hAnsi="仿宋_GB2312" w:cs="仿宋_GB2312" w:hint="eastAsia"/>
          <w:kern w:val="0"/>
          <w:sz w:val="21"/>
          <w:szCs w:val="21"/>
          <w:lang w:bidi="ar"/>
        </w:rPr>
        <w:t>3.学历、学位证书（或教育部中国留学服务中心的境外学历、学位认证书）须在2025年10 月9 日前取得；</w:t>
      </w:r>
    </w:p>
    <w:p w:rsidR="00D543D8" w:rsidRPr="00105357" w:rsidRDefault="00D543D8">
      <w:bookmarkStart w:id="0" w:name="_GoBack"/>
      <w:bookmarkEnd w:id="0"/>
    </w:p>
    <w:sectPr w:rsidR="00D543D8" w:rsidRPr="00105357" w:rsidSect="00105357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93" w:rsidRDefault="008C6393" w:rsidP="00105357">
      <w:r>
        <w:separator/>
      </w:r>
    </w:p>
  </w:endnote>
  <w:endnote w:type="continuationSeparator" w:id="0">
    <w:p w:rsidR="008C6393" w:rsidRDefault="008C6393" w:rsidP="0010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93" w:rsidRDefault="008C6393" w:rsidP="00105357">
      <w:r>
        <w:separator/>
      </w:r>
    </w:p>
  </w:footnote>
  <w:footnote w:type="continuationSeparator" w:id="0">
    <w:p w:rsidR="008C6393" w:rsidRDefault="008C6393" w:rsidP="0010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8E"/>
    <w:rsid w:val="00105357"/>
    <w:rsid w:val="001D11A7"/>
    <w:rsid w:val="008C6393"/>
    <w:rsid w:val="00D543D8"/>
    <w:rsid w:val="00F52ADB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2909E5-9C7F-4A37-AB6F-1B9CCC8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5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357"/>
    <w:rPr>
      <w:sz w:val="18"/>
      <w:szCs w:val="18"/>
    </w:rPr>
  </w:style>
  <w:style w:type="paragraph" w:styleId="2">
    <w:name w:val="List Bullet 2"/>
    <w:basedOn w:val="a"/>
    <w:qFormat/>
    <w:rsid w:val="00105357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2025-10-09T09:43:00Z</dcterms:created>
  <dcterms:modified xsi:type="dcterms:W3CDTF">2025-10-09T09:44:00Z</dcterms:modified>
</cp:coreProperties>
</file>