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0113A">
      <w:pPr>
        <w:spacing w:line="560" w:lineRule="exact"/>
        <w:rPr>
          <w:rFonts w:hint="eastAsia" w:ascii="黑体" w:hAnsi="黑体" w:eastAsia="黑体" w:cs="黑体"/>
          <w:color w:val="auto"/>
          <w:sz w:val="30"/>
          <w:szCs w:val="30"/>
          <w:u w:val="none"/>
        </w:rPr>
      </w:pPr>
      <w:r>
        <w:rPr>
          <w:rFonts w:hint="eastAsia" w:ascii="黑体" w:hAnsi="黑体" w:eastAsia="黑体" w:cs="黑体"/>
          <w:color w:val="auto"/>
          <w:sz w:val="30"/>
          <w:szCs w:val="30"/>
          <w:u w:val="none"/>
        </w:rPr>
        <w:t>附件1</w:t>
      </w:r>
    </w:p>
    <w:p w14:paraId="04F8C2B4">
      <w:pPr>
        <w:spacing w:line="560" w:lineRule="exact"/>
        <w:jc w:val="left"/>
        <w:rPr>
          <w:rFonts w:hint="eastAsia" w:ascii="仿宋" w:hAnsi="仿宋" w:eastAsia="仿宋" w:cs="仿宋"/>
          <w:color w:val="auto"/>
          <w:sz w:val="32"/>
          <w:szCs w:val="32"/>
          <w:u w:val="none"/>
        </w:rPr>
      </w:pPr>
    </w:p>
    <w:tbl>
      <w:tblPr>
        <w:tblStyle w:val="9"/>
        <w:tblW w:w="13961" w:type="dxa"/>
        <w:tblInd w:w="93" w:type="dxa"/>
        <w:tblLayout w:type="fixed"/>
        <w:tblCellMar>
          <w:top w:w="0" w:type="dxa"/>
          <w:left w:w="108" w:type="dxa"/>
          <w:bottom w:w="0" w:type="dxa"/>
          <w:right w:w="108" w:type="dxa"/>
        </w:tblCellMar>
      </w:tblPr>
      <w:tblGrid>
        <w:gridCol w:w="689"/>
        <w:gridCol w:w="1233"/>
        <w:gridCol w:w="799"/>
        <w:gridCol w:w="5106"/>
        <w:gridCol w:w="5130"/>
        <w:gridCol w:w="1004"/>
      </w:tblGrid>
      <w:tr w14:paraId="5442CA9D">
        <w:tblPrEx>
          <w:tblCellMar>
            <w:top w:w="0" w:type="dxa"/>
            <w:left w:w="108" w:type="dxa"/>
            <w:bottom w:w="0" w:type="dxa"/>
            <w:right w:w="108" w:type="dxa"/>
          </w:tblCellMar>
        </w:tblPrEx>
        <w:trPr>
          <w:trHeight w:val="960" w:hRule="atLeast"/>
        </w:trPr>
        <w:tc>
          <w:tcPr>
            <w:tcW w:w="13961" w:type="dxa"/>
            <w:gridSpan w:val="6"/>
            <w:tcBorders>
              <w:top w:val="nil"/>
              <w:left w:val="nil"/>
              <w:bottom w:val="nil"/>
              <w:right w:val="nil"/>
            </w:tcBorders>
            <w:vAlign w:val="center"/>
          </w:tcPr>
          <w:p w14:paraId="3D591983">
            <w:pPr>
              <w:widowControl/>
              <w:spacing w:line="560" w:lineRule="exact"/>
              <w:jc w:val="center"/>
              <w:textAlignment w:val="center"/>
              <w:rPr>
                <w:rFonts w:hint="eastAsia" w:ascii="黑体" w:hAnsi="宋体" w:eastAsia="黑体" w:cs="黑体"/>
                <w:b/>
                <w:bCs/>
                <w:color w:val="auto"/>
                <w:sz w:val="36"/>
                <w:szCs w:val="36"/>
                <w:u w:val="none"/>
              </w:rPr>
            </w:pPr>
            <w:r>
              <w:rPr>
                <w:rFonts w:hint="eastAsia" w:ascii="黑体" w:hAnsi="黑体" w:eastAsia="黑体" w:cs="黑体"/>
                <w:b/>
                <w:color w:val="auto"/>
                <w:sz w:val="30"/>
                <w:szCs w:val="30"/>
                <w:u w:val="none"/>
              </w:rPr>
              <w:t>2025年武汉出版集团有限公司招聘岗位一览表</w:t>
            </w:r>
          </w:p>
        </w:tc>
      </w:tr>
      <w:tr w14:paraId="6C1CC495">
        <w:tblPrEx>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vAlign w:val="center"/>
          </w:tcPr>
          <w:p w14:paraId="0B49402A">
            <w:pPr>
              <w:widowControl/>
              <w:spacing w:line="360" w:lineRule="exact"/>
              <w:jc w:val="center"/>
              <w:textAlignment w:val="center"/>
              <w:rPr>
                <w:rFonts w:hint="eastAsia" w:ascii="宋体" w:hAnsi="宋体"/>
                <w:b/>
                <w:bCs/>
                <w:color w:val="auto"/>
                <w:kern w:val="0"/>
                <w:sz w:val="18"/>
                <w:szCs w:val="18"/>
                <w:u w:val="none"/>
                <w:lang w:bidi="ar"/>
              </w:rPr>
            </w:pPr>
            <w:r>
              <w:rPr>
                <w:rFonts w:hint="eastAsia" w:ascii="宋体" w:hAnsi="宋体"/>
                <w:b/>
                <w:bCs/>
                <w:color w:val="auto"/>
                <w:kern w:val="0"/>
                <w:sz w:val="18"/>
                <w:szCs w:val="18"/>
                <w:u w:val="none"/>
                <w:lang w:bidi="ar"/>
              </w:rPr>
              <w:t>序号</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14:paraId="014163AA">
            <w:pPr>
              <w:widowControl/>
              <w:spacing w:line="360" w:lineRule="exact"/>
              <w:jc w:val="center"/>
              <w:textAlignment w:val="center"/>
              <w:rPr>
                <w:rFonts w:hint="eastAsia" w:ascii="宋体" w:hAnsi="宋体"/>
                <w:b/>
                <w:bCs/>
                <w:color w:val="auto"/>
                <w:kern w:val="0"/>
                <w:sz w:val="18"/>
                <w:szCs w:val="18"/>
                <w:u w:val="none"/>
                <w:lang w:bidi="ar"/>
              </w:rPr>
            </w:pPr>
            <w:r>
              <w:rPr>
                <w:rFonts w:hint="eastAsia" w:ascii="宋体" w:hAnsi="宋体"/>
                <w:b/>
                <w:bCs/>
                <w:color w:val="auto"/>
                <w:kern w:val="0"/>
                <w:sz w:val="18"/>
                <w:szCs w:val="18"/>
                <w:u w:val="none"/>
                <w:lang w:bidi="ar"/>
              </w:rPr>
              <w:t>招聘岗位</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14:paraId="600A9083">
            <w:pPr>
              <w:widowControl/>
              <w:spacing w:line="360" w:lineRule="exact"/>
              <w:jc w:val="center"/>
              <w:textAlignment w:val="center"/>
              <w:rPr>
                <w:rFonts w:hint="eastAsia" w:ascii="宋体" w:hAnsi="宋体"/>
                <w:b/>
                <w:bCs/>
                <w:color w:val="auto"/>
                <w:kern w:val="0"/>
                <w:sz w:val="18"/>
                <w:szCs w:val="18"/>
                <w:u w:val="none"/>
                <w:lang w:bidi="ar"/>
              </w:rPr>
            </w:pPr>
            <w:r>
              <w:rPr>
                <w:rFonts w:hint="eastAsia" w:ascii="宋体" w:hAnsi="宋体"/>
                <w:b/>
                <w:bCs/>
                <w:color w:val="auto"/>
                <w:kern w:val="0"/>
                <w:sz w:val="18"/>
                <w:szCs w:val="18"/>
                <w:u w:val="none"/>
                <w:lang w:bidi="ar"/>
              </w:rPr>
              <w:t>招聘</w:t>
            </w:r>
            <w:r>
              <w:rPr>
                <w:rFonts w:hint="eastAsia" w:ascii="宋体" w:hAnsi="宋体"/>
                <w:b/>
                <w:bCs/>
                <w:color w:val="auto"/>
                <w:kern w:val="0"/>
                <w:sz w:val="18"/>
                <w:szCs w:val="18"/>
                <w:u w:val="none"/>
                <w:lang w:bidi="ar"/>
              </w:rPr>
              <w:br w:type="textWrapping"/>
            </w:r>
            <w:r>
              <w:rPr>
                <w:rFonts w:hint="eastAsia" w:ascii="宋体" w:hAnsi="宋体"/>
                <w:b/>
                <w:bCs/>
                <w:color w:val="auto"/>
                <w:kern w:val="0"/>
                <w:sz w:val="18"/>
                <w:szCs w:val="18"/>
                <w:u w:val="none"/>
                <w:lang w:bidi="ar"/>
              </w:rPr>
              <w:t>人数</w:t>
            </w:r>
          </w:p>
        </w:tc>
        <w:tc>
          <w:tcPr>
            <w:tcW w:w="5106" w:type="dxa"/>
            <w:vMerge w:val="restart"/>
            <w:tcBorders>
              <w:top w:val="single" w:color="000000" w:sz="4" w:space="0"/>
              <w:left w:val="single" w:color="000000" w:sz="4" w:space="0"/>
              <w:bottom w:val="single" w:color="000000" w:sz="4" w:space="0"/>
              <w:right w:val="single" w:color="000000" w:sz="4" w:space="0"/>
            </w:tcBorders>
            <w:vAlign w:val="center"/>
          </w:tcPr>
          <w:p w14:paraId="7F3DB277">
            <w:pPr>
              <w:widowControl/>
              <w:spacing w:line="360" w:lineRule="exact"/>
              <w:jc w:val="center"/>
              <w:textAlignment w:val="center"/>
              <w:rPr>
                <w:rFonts w:hint="eastAsia" w:ascii="宋体" w:hAnsi="宋体"/>
                <w:b/>
                <w:bCs/>
                <w:color w:val="auto"/>
                <w:kern w:val="0"/>
                <w:sz w:val="18"/>
                <w:szCs w:val="18"/>
                <w:u w:val="none"/>
                <w:lang w:bidi="ar"/>
              </w:rPr>
            </w:pPr>
            <w:r>
              <w:rPr>
                <w:rFonts w:hint="eastAsia" w:ascii="宋体" w:hAnsi="宋体"/>
                <w:b/>
                <w:bCs/>
                <w:color w:val="auto"/>
                <w:kern w:val="0"/>
                <w:sz w:val="18"/>
                <w:szCs w:val="18"/>
                <w:u w:val="none"/>
                <w:lang w:bidi="ar"/>
              </w:rPr>
              <w:t>岗位职责描述</w:t>
            </w:r>
          </w:p>
        </w:tc>
        <w:tc>
          <w:tcPr>
            <w:tcW w:w="5130" w:type="dxa"/>
            <w:vMerge w:val="restart"/>
            <w:tcBorders>
              <w:top w:val="single" w:color="000000" w:sz="4" w:space="0"/>
              <w:left w:val="single" w:color="000000" w:sz="4" w:space="0"/>
              <w:bottom w:val="single" w:color="000000" w:sz="4" w:space="0"/>
              <w:right w:val="single" w:color="000000" w:sz="4" w:space="0"/>
            </w:tcBorders>
            <w:vAlign w:val="center"/>
          </w:tcPr>
          <w:p w14:paraId="54DE3EE8">
            <w:pPr>
              <w:widowControl/>
              <w:spacing w:line="360" w:lineRule="exact"/>
              <w:jc w:val="center"/>
              <w:textAlignment w:val="center"/>
              <w:rPr>
                <w:rFonts w:hint="eastAsia" w:ascii="宋体" w:hAnsi="宋体"/>
                <w:b/>
                <w:bCs/>
                <w:color w:val="auto"/>
                <w:kern w:val="0"/>
                <w:sz w:val="18"/>
                <w:szCs w:val="18"/>
                <w:u w:val="none"/>
                <w:lang w:bidi="ar"/>
              </w:rPr>
            </w:pPr>
            <w:r>
              <w:rPr>
                <w:rFonts w:hint="eastAsia" w:ascii="宋体" w:hAnsi="宋体"/>
                <w:b/>
                <w:bCs/>
                <w:color w:val="auto"/>
                <w:kern w:val="0"/>
                <w:sz w:val="18"/>
                <w:szCs w:val="18"/>
                <w:u w:val="none"/>
                <w:lang w:bidi="ar"/>
              </w:rPr>
              <w:t>岗位要求</w:t>
            </w:r>
          </w:p>
        </w:tc>
        <w:tc>
          <w:tcPr>
            <w:tcW w:w="1004" w:type="dxa"/>
            <w:vMerge w:val="restart"/>
            <w:tcBorders>
              <w:top w:val="single" w:color="000000" w:sz="4" w:space="0"/>
              <w:left w:val="single" w:color="000000" w:sz="4" w:space="0"/>
              <w:bottom w:val="single" w:color="000000" w:sz="4" w:space="0"/>
              <w:right w:val="single" w:color="000000" w:sz="4" w:space="0"/>
            </w:tcBorders>
            <w:vAlign w:val="center"/>
          </w:tcPr>
          <w:p w14:paraId="06D59806">
            <w:pPr>
              <w:widowControl/>
              <w:spacing w:line="560" w:lineRule="exact"/>
              <w:jc w:val="center"/>
              <w:textAlignment w:val="center"/>
              <w:rPr>
                <w:rFonts w:hint="eastAsia" w:ascii="宋体" w:hAnsi="宋体"/>
                <w:b/>
                <w:bCs/>
                <w:color w:val="auto"/>
                <w:kern w:val="0"/>
                <w:sz w:val="18"/>
                <w:szCs w:val="18"/>
                <w:u w:val="none"/>
                <w:lang w:bidi="ar"/>
              </w:rPr>
            </w:pPr>
            <w:r>
              <w:rPr>
                <w:rFonts w:hint="eastAsia" w:ascii="宋体" w:hAnsi="宋体"/>
                <w:b/>
                <w:bCs/>
                <w:color w:val="auto"/>
                <w:kern w:val="0"/>
                <w:sz w:val="18"/>
                <w:szCs w:val="18"/>
                <w:u w:val="none"/>
                <w:lang w:bidi="ar"/>
              </w:rPr>
              <w:t>备注</w:t>
            </w:r>
          </w:p>
        </w:tc>
      </w:tr>
      <w:tr w14:paraId="1F70D704">
        <w:tblPrEx>
          <w:tblCellMar>
            <w:top w:w="0" w:type="dxa"/>
            <w:left w:w="108" w:type="dxa"/>
            <w:bottom w:w="0" w:type="dxa"/>
            <w:right w:w="108" w:type="dxa"/>
          </w:tblCellMar>
        </w:tblPrEx>
        <w:trPr>
          <w:trHeight w:val="760" w:hRule="atLeast"/>
        </w:trPr>
        <w:tc>
          <w:tcPr>
            <w:tcW w:w="689" w:type="dxa"/>
            <w:vMerge w:val="continue"/>
            <w:tcBorders>
              <w:top w:val="single" w:color="000000" w:sz="4" w:space="0"/>
              <w:left w:val="single" w:color="000000" w:sz="4" w:space="0"/>
              <w:bottom w:val="single" w:color="000000" w:sz="4" w:space="0"/>
              <w:right w:val="single" w:color="000000" w:sz="4" w:space="0"/>
            </w:tcBorders>
            <w:vAlign w:val="center"/>
          </w:tcPr>
          <w:p w14:paraId="40814E70">
            <w:pPr>
              <w:spacing w:line="360" w:lineRule="exact"/>
              <w:jc w:val="center"/>
              <w:rPr>
                <w:rFonts w:hint="eastAsia" w:ascii="黑体" w:hAnsi="宋体" w:eastAsia="黑体" w:cs="黑体"/>
                <w:b/>
                <w:bCs/>
                <w:color w:val="auto"/>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14:paraId="36B0EF5F">
            <w:pPr>
              <w:spacing w:line="360" w:lineRule="exact"/>
              <w:jc w:val="center"/>
              <w:rPr>
                <w:rFonts w:hint="eastAsia" w:ascii="黑体" w:hAnsi="宋体" w:eastAsia="黑体" w:cs="黑体"/>
                <w:b/>
                <w:bCs/>
                <w:color w:val="auto"/>
                <w:sz w:val="18"/>
                <w:szCs w:val="18"/>
                <w:u w:val="none"/>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14:paraId="61FC2D5D">
            <w:pPr>
              <w:spacing w:line="360" w:lineRule="exact"/>
              <w:jc w:val="center"/>
              <w:rPr>
                <w:rFonts w:hint="eastAsia" w:ascii="黑体" w:hAnsi="宋体" w:eastAsia="黑体" w:cs="黑体"/>
                <w:b/>
                <w:bCs/>
                <w:color w:val="auto"/>
                <w:sz w:val="18"/>
                <w:szCs w:val="18"/>
                <w:u w:val="none"/>
              </w:rPr>
            </w:pPr>
          </w:p>
        </w:tc>
        <w:tc>
          <w:tcPr>
            <w:tcW w:w="5106" w:type="dxa"/>
            <w:vMerge w:val="continue"/>
            <w:tcBorders>
              <w:top w:val="single" w:color="000000" w:sz="4" w:space="0"/>
              <w:left w:val="single" w:color="000000" w:sz="4" w:space="0"/>
              <w:bottom w:val="single" w:color="000000" w:sz="4" w:space="0"/>
              <w:right w:val="single" w:color="000000" w:sz="4" w:space="0"/>
            </w:tcBorders>
            <w:vAlign w:val="center"/>
          </w:tcPr>
          <w:p w14:paraId="6E6F2F66">
            <w:pPr>
              <w:spacing w:line="360" w:lineRule="exact"/>
              <w:jc w:val="center"/>
              <w:rPr>
                <w:rFonts w:hint="eastAsia" w:ascii="黑体" w:hAnsi="宋体" w:eastAsia="黑体" w:cs="黑体"/>
                <w:b/>
                <w:bCs/>
                <w:color w:val="auto"/>
                <w:sz w:val="18"/>
                <w:szCs w:val="18"/>
                <w:u w:val="none"/>
              </w:rPr>
            </w:pPr>
          </w:p>
        </w:tc>
        <w:tc>
          <w:tcPr>
            <w:tcW w:w="5130" w:type="dxa"/>
            <w:vMerge w:val="continue"/>
            <w:tcBorders>
              <w:top w:val="single" w:color="000000" w:sz="4" w:space="0"/>
              <w:left w:val="single" w:color="000000" w:sz="4" w:space="0"/>
              <w:bottom w:val="single" w:color="000000" w:sz="4" w:space="0"/>
              <w:right w:val="single" w:color="000000" w:sz="4" w:space="0"/>
            </w:tcBorders>
            <w:vAlign w:val="center"/>
          </w:tcPr>
          <w:p w14:paraId="01C6B3CD">
            <w:pPr>
              <w:spacing w:line="360" w:lineRule="exact"/>
              <w:jc w:val="center"/>
              <w:rPr>
                <w:rFonts w:hint="eastAsia" w:ascii="黑体" w:hAnsi="宋体" w:eastAsia="黑体" w:cs="黑体"/>
                <w:b/>
                <w:bCs/>
                <w:color w:val="auto"/>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53E344B1">
            <w:pPr>
              <w:spacing w:line="560" w:lineRule="exact"/>
              <w:jc w:val="center"/>
              <w:rPr>
                <w:rFonts w:hint="eastAsia" w:ascii="黑体" w:hAnsi="宋体" w:eastAsia="黑体" w:cs="黑体"/>
                <w:b/>
                <w:bCs/>
                <w:color w:val="auto"/>
                <w:sz w:val="18"/>
                <w:szCs w:val="18"/>
                <w:u w:val="none"/>
              </w:rPr>
            </w:pPr>
          </w:p>
        </w:tc>
      </w:tr>
      <w:tr w14:paraId="35D39F32">
        <w:tblPrEx>
          <w:tblCellMar>
            <w:top w:w="0" w:type="dxa"/>
            <w:left w:w="108" w:type="dxa"/>
            <w:bottom w:w="0" w:type="dxa"/>
            <w:right w:w="108" w:type="dxa"/>
          </w:tblCellMar>
        </w:tblPrEx>
        <w:trPr>
          <w:trHeight w:val="3880" w:hRule="atLeast"/>
        </w:trPr>
        <w:tc>
          <w:tcPr>
            <w:tcW w:w="689" w:type="dxa"/>
            <w:tcBorders>
              <w:top w:val="single" w:color="000000" w:sz="4" w:space="0"/>
              <w:left w:val="single" w:color="000000" w:sz="4" w:space="0"/>
              <w:bottom w:val="single" w:color="000000" w:sz="4" w:space="0"/>
              <w:right w:val="single" w:color="000000" w:sz="4" w:space="0"/>
            </w:tcBorders>
            <w:vAlign w:val="center"/>
          </w:tcPr>
          <w:p w14:paraId="5B520F4B">
            <w:pPr>
              <w:widowControl/>
              <w:spacing w:line="360" w:lineRule="exact"/>
              <w:jc w:val="center"/>
              <w:textAlignment w:val="center"/>
              <w:rPr>
                <w:rFonts w:hint="eastAsia" w:ascii="宋体" w:hAnsi="宋体"/>
                <w:color w:val="auto"/>
                <w:sz w:val="18"/>
                <w:szCs w:val="18"/>
                <w:u w:val="none"/>
              </w:rPr>
            </w:pPr>
            <w:r>
              <w:rPr>
                <w:rFonts w:hint="eastAsia" w:ascii="宋体" w:hAnsi="宋体"/>
                <w:color w:val="auto"/>
                <w:kern w:val="0"/>
                <w:sz w:val="18"/>
                <w:szCs w:val="18"/>
                <w:u w:val="none"/>
                <w:lang w:bidi="ar"/>
              </w:rPr>
              <w:t>1</w:t>
            </w:r>
          </w:p>
        </w:tc>
        <w:tc>
          <w:tcPr>
            <w:tcW w:w="1233" w:type="dxa"/>
            <w:tcBorders>
              <w:top w:val="single" w:color="000000" w:sz="4" w:space="0"/>
              <w:left w:val="single" w:color="000000" w:sz="4" w:space="0"/>
              <w:bottom w:val="single" w:color="000000" w:sz="4" w:space="0"/>
              <w:right w:val="single" w:color="000000" w:sz="4" w:space="0"/>
            </w:tcBorders>
            <w:vAlign w:val="center"/>
          </w:tcPr>
          <w:p w14:paraId="4899FE3F">
            <w:pPr>
              <w:widowControl/>
              <w:spacing w:line="360" w:lineRule="exact"/>
              <w:jc w:val="center"/>
              <w:textAlignment w:val="center"/>
              <w:rPr>
                <w:rFonts w:hint="eastAsia" w:ascii="宋体" w:hAnsi="宋体"/>
                <w:color w:val="auto"/>
                <w:sz w:val="18"/>
                <w:szCs w:val="18"/>
                <w:u w:val="none"/>
              </w:rPr>
            </w:pPr>
            <w:r>
              <w:rPr>
                <w:rFonts w:hint="eastAsia" w:ascii="宋体" w:hAnsi="宋体"/>
                <w:color w:val="auto"/>
                <w:kern w:val="0"/>
                <w:sz w:val="18"/>
                <w:szCs w:val="18"/>
                <w:u w:val="none"/>
                <w:lang w:bidi="ar"/>
              </w:rPr>
              <w:t>武汉出版集团有限公司信息化及出版融合办公室副主任</w:t>
            </w:r>
          </w:p>
        </w:tc>
        <w:tc>
          <w:tcPr>
            <w:tcW w:w="799" w:type="dxa"/>
            <w:tcBorders>
              <w:top w:val="single" w:color="000000" w:sz="4" w:space="0"/>
              <w:left w:val="single" w:color="000000" w:sz="4" w:space="0"/>
              <w:bottom w:val="single" w:color="000000" w:sz="4" w:space="0"/>
              <w:right w:val="single" w:color="000000" w:sz="4" w:space="0"/>
            </w:tcBorders>
            <w:vAlign w:val="center"/>
          </w:tcPr>
          <w:p w14:paraId="44773115">
            <w:pPr>
              <w:widowControl/>
              <w:spacing w:line="360" w:lineRule="exact"/>
              <w:jc w:val="center"/>
              <w:textAlignment w:val="center"/>
              <w:rPr>
                <w:rFonts w:hint="eastAsia" w:ascii="宋体" w:hAnsi="宋体"/>
                <w:color w:val="auto"/>
                <w:sz w:val="18"/>
                <w:szCs w:val="18"/>
                <w:u w:val="none"/>
              </w:rPr>
            </w:pPr>
            <w:r>
              <w:rPr>
                <w:rFonts w:hint="eastAsia" w:ascii="宋体" w:hAnsi="宋体"/>
                <w:color w:val="auto"/>
                <w:kern w:val="0"/>
                <w:sz w:val="18"/>
                <w:szCs w:val="18"/>
                <w:u w:val="none"/>
                <w:lang w:bidi="ar"/>
              </w:rPr>
              <w:t>1</w:t>
            </w:r>
          </w:p>
        </w:tc>
        <w:tc>
          <w:tcPr>
            <w:tcW w:w="5106" w:type="dxa"/>
            <w:tcBorders>
              <w:top w:val="single" w:color="000000" w:sz="4" w:space="0"/>
              <w:left w:val="single" w:color="000000" w:sz="4" w:space="0"/>
              <w:bottom w:val="single" w:color="000000" w:sz="4" w:space="0"/>
              <w:right w:val="single" w:color="000000" w:sz="4" w:space="0"/>
            </w:tcBorders>
            <w:vAlign w:val="center"/>
          </w:tcPr>
          <w:p w14:paraId="2EDD1BDD">
            <w:pPr>
              <w:widowControl/>
              <w:spacing w:line="360" w:lineRule="exact"/>
              <w:jc w:val="left"/>
              <w:textAlignment w:val="center"/>
              <w:rPr>
                <w:rFonts w:hint="eastAsia" w:ascii="宋体" w:hAnsi="宋体"/>
                <w:color w:val="auto"/>
                <w:sz w:val="18"/>
                <w:szCs w:val="18"/>
                <w:u w:val="none"/>
              </w:rPr>
            </w:pPr>
            <w:r>
              <w:rPr>
                <w:rFonts w:hint="eastAsia" w:ascii="宋体" w:hAnsi="宋体"/>
                <w:color w:val="auto"/>
                <w:kern w:val="0"/>
                <w:sz w:val="18"/>
                <w:szCs w:val="18"/>
                <w:u w:val="none"/>
                <w:lang w:bidi="ar"/>
              </w:rPr>
              <w:t>1.完善落实集团信息化发展规划，统筹推进ERP、OA、数字出版平台等系统的建设与优化，负责集团数字化转型管理工作；</w:t>
            </w:r>
            <w:r>
              <w:rPr>
                <w:rFonts w:hint="eastAsia" w:ascii="宋体" w:hAnsi="宋体"/>
                <w:color w:val="auto"/>
                <w:kern w:val="0"/>
                <w:sz w:val="18"/>
                <w:szCs w:val="18"/>
                <w:u w:val="none"/>
                <w:lang w:bidi="ar"/>
              </w:rPr>
              <w:br w:type="textWrapping"/>
            </w:r>
            <w:r>
              <w:rPr>
                <w:rFonts w:hint="eastAsia" w:ascii="宋体" w:hAnsi="宋体"/>
                <w:color w:val="auto"/>
                <w:kern w:val="0"/>
                <w:sz w:val="18"/>
                <w:szCs w:val="18"/>
                <w:u w:val="none"/>
                <w:lang w:bidi="ar"/>
              </w:rPr>
              <w:t>2.统筹搭建集团信息化所需IT服务系统和业务系统的技术体系，把握技术发展方向，制定和实施重大技术决策和技术方案，信息安全事件预防及处理；</w:t>
            </w:r>
            <w:r>
              <w:rPr>
                <w:rFonts w:hint="eastAsia" w:ascii="宋体" w:hAnsi="宋体"/>
                <w:color w:val="auto"/>
                <w:kern w:val="0"/>
                <w:sz w:val="18"/>
                <w:szCs w:val="18"/>
                <w:u w:val="none"/>
                <w:lang w:bidi="ar"/>
              </w:rPr>
              <w:br w:type="textWrapping"/>
            </w:r>
            <w:r>
              <w:rPr>
                <w:rFonts w:hint="eastAsia" w:ascii="宋体" w:hAnsi="宋体"/>
                <w:color w:val="auto"/>
                <w:kern w:val="0"/>
                <w:sz w:val="18"/>
                <w:szCs w:val="18"/>
                <w:u w:val="none"/>
                <w:lang w:bidi="ar"/>
              </w:rPr>
              <w:t xml:space="preserve">3.根据公司发展规划，确定年度工作目标，制定年度工作计划，保证工作的正常进行，确保公司整体研发战略的实施； </w:t>
            </w:r>
            <w:r>
              <w:rPr>
                <w:rFonts w:hint="eastAsia" w:ascii="宋体" w:hAnsi="宋体"/>
                <w:color w:val="auto"/>
                <w:kern w:val="0"/>
                <w:sz w:val="18"/>
                <w:szCs w:val="18"/>
                <w:u w:val="none"/>
                <w:lang w:bidi="ar"/>
              </w:rPr>
              <w:br w:type="textWrapping"/>
            </w:r>
            <w:r>
              <w:rPr>
                <w:rFonts w:hint="eastAsia" w:ascii="宋体" w:hAnsi="宋体"/>
                <w:color w:val="auto"/>
                <w:kern w:val="0"/>
                <w:sz w:val="18"/>
                <w:szCs w:val="18"/>
                <w:u w:val="none"/>
                <w:lang w:bidi="ar"/>
              </w:rPr>
              <w:t xml:space="preserve">4.把握AI、大数据、区块链等新技术趋势，将大模型、自动化工具应用于选题策划、内容生产、版权管理、发行物流等场景； </w:t>
            </w:r>
            <w:r>
              <w:rPr>
                <w:rFonts w:hint="eastAsia" w:ascii="宋体" w:hAnsi="宋体"/>
                <w:color w:val="auto"/>
                <w:kern w:val="0"/>
                <w:sz w:val="18"/>
                <w:szCs w:val="18"/>
                <w:u w:val="none"/>
                <w:lang w:bidi="ar"/>
              </w:rPr>
              <w:br w:type="textWrapping"/>
            </w:r>
            <w:r>
              <w:rPr>
                <w:rFonts w:hint="eastAsia" w:ascii="宋体" w:hAnsi="宋体"/>
                <w:color w:val="auto"/>
                <w:kern w:val="0"/>
                <w:sz w:val="18"/>
                <w:szCs w:val="18"/>
                <w:u w:val="none"/>
                <w:lang w:bidi="ar"/>
              </w:rPr>
              <w:t>5.开展业务培训，培养复合型人才；</w:t>
            </w:r>
            <w:r>
              <w:rPr>
                <w:rFonts w:hint="eastAsia" w:ascii="宋体" w:hAnsi="宋体"/>
                <w:color w:val="auto"/>
                <w:kern w:val="0"/>
                <w:sz w:val="18"/>
                <w:szCs w:val="18"/>
                <w:u w:val="none"/>
                <w:lang w:bidi="ar"/>
              </w:rPr>
              <w:br w:type="textWrapping"/>
            </w:r>
            <w:r>
              <w:rPr>
                <w:rFonts w:hint="eastAsia" w:ascii="宋体" w:hAnsi="宋体"/>
                <w:color w:val="auto"/>
                <w:kern w:val="0"/>
                <w:sz w:val="18"/>
                <w:szCs w:val="18"/>
                <w:u w:val="none"/>
                <w:lang w:bidi="ar"/>
              </w:rPr>
              <w:t>6.完成领导交办的其他工作。</w:t>
            </w:r>
          </w:p>
        </w:tc>
        <w:tc>
          <w:tcPr>
            <w:tcW w:w="5130" w:type="dxa"/>
            <w:tcBorders>
              <w:top w:val="single" w:color="000000" w:sz="4" w:space="0"/>
              <w:left w:val="single" w:color="000000" w:sz="4" w:space="0"/>
              <w:bottom w:val="single" w:color="000000" w:sz="4" w:space="0"/>
              <w:right w:val="single" w:color="000000" w:sz="4" w:space="0"/>
            </w:tcBorders>
            <w:vAlign w:val="center"/>
          </w:tcPr>
          <w:p w14:paraId="68D64509">
            <w:pPr>
              <w:widowControl/>
              <w:spacing w:line="360" w:lineRule="exact"/>
              <w:jc w:val="lef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1.1985年9月1日以后出生，特别优秀者可适当放宽年龄限制；</w:t>
            </w:r>
          </w:p>
          <w:p w14:paraId="63279CD1">
            <w:pPr>
              <w:widowControl/>
              <w:spacing w:line="360" w:lineRule="exact"/>
              <w:jc w:val="lef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2.软件工程、人工智能、大数据技术与工程、网络与信息安全等相关专业；</w:t>
            </w:r>
          </w:p>
          <w:p w14:paraId="11E061F4">
            <w:pPr>
              <w:widowControl/>
              <w:spacing w:line="360" w:lineRule="exact"/>
              <w:jc w:val="lef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3.具有全国普通高等院校或教育部认定的境外高校全日制本科及以上学历，具备硕士研究生以上学历或有相关专业高级职称或执业资格证者优先考虑；</w:t>
            </w:r>
          </w:p>
          <w:p w14:paraId="6FFE62DB">
            <w:pPr>
              <w:widowControl/>
              <w:spacing w:line="360" w:lineRule="exact"/>
              <w:jc w:val="lef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4.具有5年以上信息化领域工作经验（工作年限计算时间截止到2025年9月1日），特别优秀者可适当放宽工作年限限制；</w:t>
            </w:r>
          </w:p>
          <w:p w14:paraId="6996702A">
            <w:pPr>
              <w:widowControl/>
              <w:spacing w:line="360" w:lineRule="exact"/>
              <w:jc w:val="lef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5.有过主导图书出版、图书发行的数字化生产管理系统经验，熟悉出版发行全流程（策划、编辑、印刷、发行、销售）的信息化改造等有互联网、出版、传媒行业从业背景者优先；</w:t>
            </w:r>
          </w:p>
          <w:p w14:paraId="58F32896">
            <w:pPr>
              <w:widowControl/>
              <w:spacing w:line="360" w:lineRule="exact"/>
              <w:jc w:val="lef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6.善于沟通协调，责任心、事业心强，有良好的敬业精神和职业操守。</w:t>
            </w:r>
          </w:p>
        </w:tc>
        <w:tc>
          <w:tcPr>
            <w:tcW w:w="1004" w:type="dxa"/>
            <w:tcBorders>
              <w:top w:val="single" w:color="000000" w:sz="4" w:space="0"/>
              <w:left w:val="single" w:color="000000" w:sz="4" w:space="0"/>
              <w:bottom w:val="single" w:color="000000" w:sz="4" w:space="0"/>
              <w:right w:val="single" w:color="000000" w:sz="4" w:space="0"/>
            </w:tcBorders>
            <w:vAlign w:val="center"/>
          </w:tcPr>
          <w:p w14:paraId="112D36A5">
            <w:pPr>
              <w:spacing w:line="560" w:lineRule="exact"/>
              <w:jc w:val="left"/>
              <w:rPr>
                <w:rFonts w:hint="eastAsia" w:ascii="宋体" w:hAnsi="宋体"/>
                <w:color w:val="auto"/>
                <w:sz w:val="18"/>
                <w:szCs w:val="18"/>
                <w:u w:val="none"/>
              </w:rPr>
            </w:pPr>
          </w:p>
        </w:tc>
      </w:tr>
      <w:tr w14:paraId="59DACA23">
        <w:tblPrEx>
          <w:tblCellMar>
            <w:top w:w="0" w:type="dxa"/>
            <w:left w:w="108" w:type="dxa"/>
            <w:bottom w:w="0" w:type="dxa"/>
            <w:right w:w="108" w:type="dxa"/>
          </w:tblCellMar>
        </w:tblPrEx>
        <w:trPr>
          <w:trHeight w:val="5940" w:hRule="atLeast"/>
        </w:trPr>
        <w:tc>
          <w:tcPr>
            <w:tcW w:w="689" w:type="dxa"/>
            <w:tcBorders>
              <w:top w:val="single" w:color="000000" w:sz="4" w:space="0"/>
              <w:left w:val="single" w:color="000000" w:sz="4" w:space="0"/>
              <w:bottom w:val="single" w:color="000000" w:sz="4" w:space="0"/>
              <w:right w:val="single" w:color="000000" w:sz="4" w:space="0"/>
            </w:tcBorders>
            <w:vAlign w:val="center"/>
          </w:tcPr>
          <w:p w14:paraId="43386FE9">
            <w:pPr>
              <w:widowControl/>
              <w:spacing w:line="360" w:lineRule="exact"/>
              <w:jc w:val="center"/>
              <w:textAlignment w:val="center"/>
              <w:rPr>
                <w:rFonts w:hint="eastAsia" w:ascii="宋体" w:hAnsi="宋体"/>
                <w:color w:val="auto"/>
                <w:sz w:val="18"/>
                <w:szCs w:val="18"/>
                <w:u w:val="none"/>
              </w:rPr>
            </w:pPr>
            <w:r>
              <w:rPr>
                <w:rFonts w:hint="eastAsia" w:ascii="宋体" w:hAnsi="宋体"/>
                <w:color w:val="auto"/>
                <w:kern w:val="0"/>
                <w:sz w:val="18"/>
                <w:szCs w:val="18"/>
                <w:u w:val="none"/>
                <w:lang w:bidi="ar"/>
              </w:rPr>
              <w:t>2</w:t>
            </w:r>
          </w:p>
        </w:tc>
        <w:tc>
          <w:tcPr>
            <w:tcW w:w="1233" w:type="dxa"/>
            <w:tcBorders>
              <w:top w:val="single" w:color="000000" w:sz="4" w:space="0"/>
              <w:left w:val="single" w:color="000000" w:sz="4" w:space="0"/>
              <w:bottom w:val="single" w:color="000000" w:sz="4" w:space="0"/>
              <w:right w:val="single" w:color="000000" w:sz="4" w:space="0"/>
            </w:tcBorders>
            <w:vAlign w:val="center"/>
          </w:tcPr>
          <w:p w14:paraId="723889AE">
            <w:pPr>
              <w:widowControl/>
              <w:spacing w:line="360" w:lineRule="exact"/>
              <w:jc w:val="center"/>
              <w:textAlignment w:val="center"/>
              <w:rPr>
                <w:rFonts w:hint="eastAsia" w:ascii="宋体" w:hAnsi="宋体"/>
                <w:color w:val="auto"/>
                <w:sz w:val="18"/>
                <w:szCs w:val="18"/>
                <w:u w:val="none"/>
              </w:rPr>
            </w:pPr>
            <w:r>
              <w:rPr>
                <w:rFonts w:hint="eastAsia" w:ascii="宋体" w:hAnsi="宋体"/>
                <w:color w:val="auto"/>
                <w:kern w:val="0"/>
                <w:sz w:val="18"/>
                <w:szCs w:val="18"/>
                <w:u w:val="none"/>
                <w:lang w:bidi="ar"/>
              </w:rPr>
              <w:t>武汉出版集团有限公司经营管理办公室副主任（产业园运营管理）</w:t>
            </w:r>
          </w:p>
        </w:tc>
        <w:tc>
          <w:tcPr>
            <w:tcW w:w="799" w:type="dxa"/>
            <w:tcBorders>
              <w:top w:val="single" w:color="000000" w:sz="4" w:space="0"/>
              <w:left w:val="single" w:color="000000" w:sz="4" w:space="0"/>
              <w:bottom w:val="single" w:color="000000" w:sz="4" w:space="0"/>
              <w:right w:val="single" w:color="000000" w:sz="4" w:space="0"/>
            </w:tcBorders>
            <w:vAlign w:val="center"/>
          </w:tcPr>
          <w:p w14:paraId="0065EBD4">
            <w:pPr>
              <w:widowControl/>
              <w:spacing w:line="360" w:lineRule="exact"/>
              <w:jc w:val="center"/>
              <w:textAlignment w:val="center"/>
              <w:rPr>
                <w:rFonts w:hint="eastAsia" w:ascii="宋体" w:hAnsi="宋体"/>
                <w:color w:val="auto"/>
                <w:sz w:val="18"/>
                <w:szCs w:val="18"/>
                <w:u w:val="none"/>
              </w:rPr>
            </w:pPr>
            <w:r>
              <w:rPr>
                <w:rFonts w:hint="eastAsia" w:ascii="宋体" w:hAnsi="宋体"/>
                <w:color w:val="auto"/>
                <w:kern w:val="0"/>
                <w:sz w:val="18"/>
                <w:szCs w:val="18"/>
                <w:u w:val="none"/>
                <w:lang w:bidi="ar"/>
              </w:rPr>
              <w:t>1</w:t>
            </w:r>
          </w:p>
        </w:tc>
        <w:tc>
          <w:tcPr>
            <w:tcW w:w="5106" w:type="dxa"/>
            <w:tcBorders>
              <w:top w:val="single" w:color="000000" w:sz="4" w:space="0"/>
              <w:left w:val="single" w:color="000000" w:sz="4" w:space="0"/>
              <w:bottom w:val="single" w:color="000000" w:sz="4" w:space="0"/>
              <w:right w:val="single" w:color="000000" w:sz="4" w:space="0"/>
            </w:tcBorders>
            <w:vAlign w:val="center"/>
          </w:tcPr>
          <w:p w14:paraId="28AB5D60">
            <w:pPr>
              <w:widowControl/>
              <w:spacing w:line="360" w:lineRule="exact"/>
              <w:jc w:val="left"/>
              <w:textAlignment w:val="center"/>
              <w:rPr>
                <w:rFonts w:hint="eastAsia" w:ascii="宋体" w:hAnsi="宋体"/>
                <w:color w:val="auto"/>
                <w:sz w:val="18"/>
                <w:szCs w:val="18"/>
                <w:u w:val="none"/>
              </w:rPr>
            </w:pPr>
            <w:r>
              <w:rPr>
                <w:rFonts w:hint="eastAsia" w:ascii="宋体" w:hAnsi="宋体"/>
                <w:color w:val="auto"/>
                <w:kern w:val="0"/>
                <w:sz w:val="18"/>
                <w:szCs w:val="18"/>
                <w:u w:val="none"/>
                <w:lang w:bidi="ar"/>
              </w:rPr>
              <w:t>1.牵头制定园区中长期发展规划，构建“文化+”产业生态链，引入符合产业定位的企业及配套机构；统筹物业、招商、技术团队协同，优化空间与设施运营效率；对接政策资源，主导专项补贴申报及产业基金对接；</w:t>
            </w:r>
            <w:r>
              <w:rPr>
                <w:rFonts w:hint="eastAsia" w:ascii="宋体" w:hAnsi="宋体"/>
                <w:color w:val="auto"/>
                <w:kern w:val="0"/>
                <w:sz w:val="18"/>
                <w:szCs w:val="18"/>
                <w:u w:val="none"/>
                <w:lang w:bidi="ar"/>
              </w:rPr>
              <w:br w:type="textWrapping"/>
            </w:r>
            <w:r>
              <w:rPr>
                <w:rFonts w:hint="eastAsia" w:ascii="宋体" w:hAnsi="宋体"/>
                <w:color w:val="auto"/>
                <w:kern w:val="0"/>
                <w:sz w:val="18"/>
                <w:szCs w:val="18"/>
                <w:u w:val="none"/>
                <w:lang w:bidi="ar"/>
              </w:rPr>
              <w:t>2.建立入驻企业全周期服务体系，通过经营数据分析（营收/能耗/人才结构）动态调整资源配置；策划行业峰会、技术沙龙等活动，打造园区品牌IP；联合第三方提供知识产权布局、融资对接等增值服务；对接产学研机构推动技术转化，主导跨行业合作项目；</w:t>
            </w:r>
            <w:r>
              <w:rPr>
                <w:rFonts w:hint="eastAsia" w:ascii="宋体" w:hAnsi="宋体"/>
                <w:color w:val="auto"/>
                <w:kern w:val="0"/>
                <w:sz w:val="18"/>
                <w:szCs w:val="18"/>
                <w:u w:val="none"/>
                <w:lang w:bidi="ar"/>
              </w:rPr>
              <w:br w:type="textWrapping"/>
            </w:r>
            <w:r>
              <w:rPr>
                <w:rFonts w:hint="eastAsia" w:ascii="宋体" w:hAnsi="宋体"/>
                <w:color w:val="auto"/>
                <w:kern w:val="0"/>
                <w:sz w:val="18"/>
                <w:szCs w:val="18"/>
                <w:u w:val="none"/>
                <w:lang w:bidi="ar"/>
              </w:rPr>
              <w:t>3.推进智慧管理系统开发，集成物联网（能耗监测/智能安防）、云计算（租赁管理/数据分析）技术；开发数字内容（元宇宙空间/数字藏品）；落地“文化+科技”融合场景；</w:t>
            </w:r>
            <w:r>
              <w:rPr>
                <w:rFonts w:hint="eastAsia" w:ascii="宋体" w:hAnsi="宋体"/>
                <w:color w:val="auto"/>
                <w:kern w:val="0"/>
                <w:sz w:val="18"/>
                <w:szCs w:val="18"/>
                <w:u w:val="none"/>
                <w:lang w:bidi="ar"/>
              </w:rPr>
              <w:br w:type="textWrapping"/>
            </w:r>
            <w:r>
              <w:rPr>
                <w:rFonts w:hint="eastAsia" w:ascii="宋体" w:hAnsi="宋体"/>
                <w:color w:val="auto"/>
                <w:kern w:val="0"/>
                <w:sz w:val="18"/>
                <w:szCs w:val="18"/>
                <w:u w:val="none"/>
                <w:lang w:bidi="ar"/>
              </w:rPr>
              <w:t>4.建立合同全生命周期管理体系；组建审核团队，确保企业产品（含数字出版物）符合意识形态及版权法规；制定消防、舆情三级响应预案，定期开展应急演练；</w:t>
            </w:r>
            <w:r>
              <w:rPr>
                <w:rFonts w:hint="eastAsia" w:ascii="宋体" w:hAnsi="宋体"/>
                <w:color w:val="auto"/>
                <w:kern w:val="0"/>
                <w:sz w:val="18"/>
                <w:szCs w:val="18"/>
                <w:u w:val="none"/>
                <w:lang w:bidi="ar"/>
              </w:rPr>
              <w:br w:type="textWrapping"/>
            </w:r>
            <w:r>
              <w:rPr>
                <w:rFonts w:hint="eastAsia" w:ascii="宋体" w:hAnsi="宋体"/>
                <w:color w:val="auto"/>
                <w:kern w:val="0"/>
                <w:sz w:val="18"/>
                <w:szCs w:val="18"/>
                <w:u w:val="none"/>
                <w:lang w:bidi="ar"/>
              </w:rPr>
              <w:t>5.完成领导交办的其他工作。</w:t>
            </w:r>
          </w:p>
        </w:tc>
        <w:tc>
          <w:tcPr>
            <w:tcW w:w="5130" w:type="dxa"/>
            <w:tcBorders>
              <w:top w:val="single" w:color="000000" w:sz="4" w:space="0"/>
              <w:left w:val="single" w:color="000000" w:sz="4" w:space="0"/>
              <w:bottom w:val="single" w:color="000000" w:sz="4" w:space="0"/>
              <w:right w:val="single" w:color="000000" w:sz="4" w:space="0"/>
            </w:tcBorders>
          </w:tcPr>
          <w:p w14:paraId="53359667">
            <w:pPr>
              <w:widowControl/>
              <w:spacing w:line="360" w:lineRule="exac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1.1985年9月1日以后出生，特别优秀者可适当放宽年龄限制；</w:t>
            </w:r>
          </w:p>
          <w:p w14:paraId="2799CD67">
            <w:pPr>
              <w:widowControl/>
              <w:spacing w:line="360" w:lineRule="exac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2.文化产业管理、企业管理、信息技术等相关专业；</w:t>
            </w:r>
          </w:p>
          <w:p w14:paraId="18E160BA">
            <w:pPr>
              <w:widowControl/>
              <w:spacing w:line="360" w:lineRule="exac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3.具有全国普通高等院校或教育部认定的境外高校全日制本科及以上学历，具备硕士研究生以上学历或有相关专业高级职称或执业资格证者优先考虑；</w:t>
            </w:r>
          </w:p>
          <w:p w14:paraId="673E1787">
            <w:pPr>
              <w:widowControl/>
              <w:spacing w:line="360" w:lineRule="exac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4.具有5年以上文化园区、商业综合体或出版企业运营等相关岗位经验（工作年限计算时间截止到2025年9月1日），特别优秀者可适当放宽工作年限限制；</w:t>
            </w:r>
          </w:p>
          <w:p w14:paraId="4F0A0D56">
            <w:pPr>
              <w:widowControl/>
              <w:spacing w:line="360" w:lineRule="exact"/>
              <w:textAlignment w:val="center"/>
              <w:rPr>
                <w:rFonts w:hint="eastAsia" w:ascii="宋体" w:hAnsi="宋体"/>
                <w:color w:val="auto"/>
                <w:kern w:val="0"/>
                <w:sz w:val="18"/>
                <w:szCs w:val="18"/>
                <w:u w:val="none"/>
                <w:lang w:bidi="ar"/>
              </w:rPr>
            </w:pPr>
            <w:r>
              <w:rPr>
                <w:rFonts w:hint="eastAsia" w:ascii="宋体" w:hAnsi="宋体"/>
                <w:color w:val="auto"/>
                <w:kern w:val="0"/>
                <w:sz w:val="18"/>
                <w:szCs w:val="18"/>
                <w:u w:val="none"/>
                <w:lang w:bidi="ar"/>
              </w:rPr>
              <w:t>5.善于沟通协调，责任心、事业心强，有良好的敬业精神和职业操守。</w:t>
            </w:r>
          </w:p>
        </w:tc>
        <w:tc>
          <w:tcPr>
            <w:tcW w:w="1004" w:type="dxa"/>
            <w:tcBorders>
              <w:top w:val="single" w:color="000000" w:sz="4" w:space="0"/>
              <w:left w:val="single" w:color="000000" w:sz="4" w:space="0"/>
              <w:bottom w:val="single" w:color="000000" w:sz="4" w:space="0"/>
              <w:right w:val="single" w:color="000000" w:sz="4" w:space="0"/>
            </w:tcBorders>
            <w:vAlign w:val="center"/>
          </w:tcPr>
          <w:p w14:paraId="6ECF6392">
            <w:pPr>
              <w:spacing w:line="560" w:lineRule="exact"/>
              <w:jc w:val="left"/>
              <w:rPr>
                <w:rFonts w:hint="eastAsia" w:ascii="宋体" w:hAnsi="宋体"/>
                <w:color w:val="auto"/>
                <w:sz w:val="18"/>
                <w:szCs w:val="18"/>
                <w:u w:val="none"/>
              </w:rPr>
            </w:pPr>
          </w:p>
        </w:tc>
      </w:tr>
    </w:tbl>
    <w:p w14:paraId="2D1D2301">
      <w:pPr>
        <w:spacing w:line="560" w:lineRule="exact"/>
        <w:rPr>
          <w:rFonts w:hint="eastAsia" w:ascii="仿宋" w:hAnsi="仿宋" w:eastAsia="仿宋"/>
          <w:color w:val="auto"/>
          <w:sz w:val="32"/>
          <w:szCs w:val="32"/>
          <w:u w:val="none"/>
        </w:rPr>
      </w:pPr>
      <w:bookmarkStart w:id="0" w:name="_GoBack"/>
      <w:bookmarkEnd w:id="0"/>
    </w:p>
    <w:sectPr>
      <w:type w:val="continuous"/>
      <w:pgSz w:w="16838" w:h="11906" w:orient="landscape"/>
      <w:pgMar w:top="1587" w:right="2098" w:bottom="1236"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94"/>
    <w:rsid w:val="0031210B"/>
    <w:rsid w:val="0034738F"/>
    <w:rsid w:val="003D5315"/>
    <w:rsid w:val="00AB7A0B"/>
    <w:rsid w:val="00B64A87"/>
    <w:rsid w:val="00C97477"/>
    <w:rsid w:val="00DF3294"/>
    <w:rsid w:val="00E6230A"/>
    <w:rsid w:val="0BFB08AF"/>
    <w:rsid w:val="0EBA24D9"/>
    <w:rsid w:val="124857BE"/>
    <w:rsid w:val="1CD56548"/>
    <w:rsid w:val="280404BE"/>
    <w:rsid w:val="295E2592"/>
    <w:rsid w:val="2AE474E7"/>
    <w:rsid w:val="2BCF5046"/>
    <w:rsid w:val="322A4C4C"/>
    <w:rsid w:val="37B02B6E"/>
    <w:rsid w:val="3B7D557D"/>
    <w:rsid w:val="465914E7"/>
    <w:rsid w:val="47C26EF6"/>
    <w:rsid w:val="4E6C75F7"/>
    <w:rsid w:val="4EB0753B"/>
    <w:rsid w:val="51763840"/>
    <w:rsid w:val="5A950BAF"/>
    <w:rsid w:val="67CC4BA8"/>
    <w:rsid w:val="6C6979CB"/>
    <w:rsid w:val="6DBF1131"/>
    <w:rsid w:val="716B4453"/>
    <w:rsid w:val="72EC0317"/>
    <w:rsid w:val="7E034D49"/>
    <w:rsid w:val="7E29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5"/>
    <w:basedOn w:val="1"/>
    <w:next w:val="1"/>
    <w:qFormat/>
    <w:uiPriority w:val="9"/>
    <w:pPr>
      <w:keepNext/>
      <w:keepLines/>
      <w:spacing w:before="280" w:after="290" w:line="376" w:lineRule="auto"/>
      <w:outlineLvl w:val="4"/>
    </w:pPr>
    <w:rPr>
      <w:b/>
      <w:bCs/>
      <w:szCs w:val="28"/>
    </w:rPr>
  </w:style>
  <w:style w:type="paragraph" w:styleId="3">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4"/>
    <w:next w:val="4"/>
    <w:link w:val="19"/>
    <w:qFormat/>
    <w:uiPriority w:val="0"/>
    <w:rPr>
      <w:b/>
      <w:bC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font41"/>
    <w:basedOn w:val="10"/>
    <w:qFormat/>
    <w:uiPriority w:val="0"/>
    <w:rPr>
      <w:rFonts w:hint="eastAsia" w:ascii="宋体" w:hAnsi="宋体" w:eastAsia="宋体" w:cs="宋体"/>
      <w:b/>
      <w:bCs/>
      <w:color w:val="000000"/>
      <w:sz w:val="24"/>
      <w:szCs w:val="24"/>
      <w:u w:val="none"/>
    </w:rPr>
  </w:style>
  <w:style w:type="character" w:customStyle="1" w:styleId="15">
    <w:name w:val="font71"/>
    <w:basedOn w:val="10"/>
    <w:qFormat/>
    <w:uiPriority w:val="0"/>
    <w:rPr>
      <w:rFonts w:hint="eastAsia" w:ascii="宋体" w:hAnsi="宋体" w:eastAsia="宋体" w:cs="宋体"/>
      <w:color w:val="000000"/>
      <w:sz w:val="20"/>
      <w:szCs w:val="20"/>
      <w:u w:val="none"/>
    </w:rPr>
  </w:style>
  <w:style w:type="character" w:customStyle="1" w:styleId="16">
    <w:name w:val="页眉 字符"/>
    <w:basedOn w:val="10"/>
    <w:link w:val="6"/>
    <w:qFormat/>
    <w:uiPriority w:val="0"/>
    <w:rPr>
      <w:rFonts w:ascii="Calibri" w:hAnsi="Calibri" w:cs="宋体"/>
      <w:kern w:val="2"/>
      <w:sz w:val="18"/>
      <w:szCs w:val="18"/>
    </w:rPr>
  </w:style>
  <w:style w:type="paragraph" w:customStyle="1" w:styleId="17">
    <w:name w:val="Revision"/>
    <w:hidden/>
    <w:unhideWhenUsed/>
    <w:qFormat/>
    <w:uiPriority w:val="99"/>
    <w:rPr>
      <w:rFonts w:ascii="Calibri" w:hAnsi="Calibri" w:eastAsia="宋体" w:cs="宋体"/>
      <w:kern w:val="2"/>
      <w:sz w:val="21"/>
      <w:szCs w:val="24"/>
      <w:lang w:val="en-US" w:eastAsia="zh-CN" w:bidi="ar-SA"/>
    </w:rPr>
  </w:style>
  <w:style w:type="character" w:customStyle="1" w:styleId="18">
    <w:name w:val="批注文字 字符"/>
    <w:basedOn w:val="10"/>
    <w:link w:val="4"/>
    <w:qFormat/>
    <w:uiPriority w:val="0"/>
    <w:rPr>
      <w:rFonts w:ascii="Calibri" w:hAnsi="Calibri" w:cs="宋体"/>
      <w:kern w:val="2"/>
      <w:sz w:val="21"/>
      <w:szCs w:val="24"/>
    </w:rPr>
  </w:style>
  <w:style w:type="character" w:customStyle="1" w:styleId="19">
    <w:name w:val="批注主题 字符"/>
    <w:basedOn w:val="18"/>
    <w:link w:val="8"/>
    <w:qFormat/>
    <w:uiPriority w:val="0"/>
    <w:rPr>
      <w:rFonts w:ascii="Calibri" w:hAnsi="Calibri" w:cs="宋体"/>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3144</Words>
  <Characters>3329</Characters>
  <Lines>161</Lines>
  <Paragraphs>110</Paragraphs>
  <TotalTime>12</TotalTime>
  <ScaleCrop>false</ScaleCrop>
  <LinksUpToDate>false</LinksUpToDate>
  <CharactersWithSpaces>3428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2023-05-11T03:36:00Z</dcterms:created>
  <dc:creator>1</dc:creator>
  <cp:lastModifiedBy>HUGO</cp:lastModifiedBy>
  <cp:lastPrinted>2025-09-29T05:46:00Z</cp:lastPrinted>
  <dcterms:modified xsi:type="dcterms:W3CDTF">2025-09-30T07:09:30Z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46AB563EF23249A68473CBCB9E95C089_13</vt:lpwstr>
  </property>
  <property fmtid="{D5CDD505-2E9C-101B-9397-08002B2CF9AE}" pid="4" name="KSOTemplateDocerSaveRecord">
    <vt:lpwstr>eyJoZGlkIjoiMjI1NWIyNmMxOGNhNjI1MzRlNTFlZTUwYzYzYzVkM2YiLCJ1c2VySWQiOiIyOTYwNjEyMzIifQ==</vt:lpwstr>
  </property>
</Properties>
</file>