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130F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25F70F18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4729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135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ACF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DE1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01F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A75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22C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491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5694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880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BB7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2635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EAF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7E5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FD3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6C18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D26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D45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9F4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7E2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03B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A12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2A2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E03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30F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BBC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70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773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B47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E6FF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EEC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31A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9D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7C7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016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A0A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3A8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AD4B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E18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F5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FCD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ED3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A35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B88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68E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D66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1BE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FA1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75B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F99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B39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AF7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91B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B252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35D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E96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D70E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5D5C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CAE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8BD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DE66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2A997895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0765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B5D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D731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17BEAA3F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7CFA4130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71F1E97A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3FE3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663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4755534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88F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0D0F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225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250DC82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7087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5954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2DE1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6106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52AE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34B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A66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E26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27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7BB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53B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75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766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7BD5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093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23F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920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E3C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A9D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150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041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095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C246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5AF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B0B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208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4E5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78F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F80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AA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37B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676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07A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FC1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A0A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CBC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5BC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15E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FAA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1EDA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3F9DD294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3A0F3C9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081C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F2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1B19219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07C7D944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3D21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AB95665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0958275A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16A503E7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738F3DB2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23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731BBEF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6C6CE999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602B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7681972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4864EC22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570D954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F03B1D0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4D4D116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5F9782D3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793EDD9E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278A2696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141B325C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5A25CAC4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47357D4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5323106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230D296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7871E5B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04D098C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031668E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484B346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3E164DB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7FBB15E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3532A8E3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211EE34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4502B57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3BBBB94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02167017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1322BB5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349BDB4E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11579C9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10A9A52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211E528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0BE8643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5D88FE6E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136ECA9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0526992A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2117F98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6CB4597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0E3B6CB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7FFC0DC6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3E54903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7EBDABF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6D310094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30C37DA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6E9ADF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B8F1E-7A7B-41EB-9E8D-A39546F37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EF7326-FFC5-44D8-B17F-2FB1C9A40D9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977FE5-8F2F-4909-902F-CADA461998C2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B59F7F44-B0DF-4F49-8DFA-912C926B5B9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334AD5C-6F87-4F91-990F-4414AEFA77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22FD6D9-77EC-40B2-8643-C6DFB2DE05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40405BE-5ED3-4765-99CC-1CF55F874F2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158E10BF-09BE-4607-BACF-08DB5878479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3B1053A0-36C3-4168-A651-4D63C31CAF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2025-09-29T02:48:01Z</dcterms:created>
  <dc:creator>zhang</dc:creator>
  <cp:lastModifiedBy>张天</cp:lastModifiedBy>
  <dcterms:modified xsi:type="dcterms:W3CDTF">2025-09-29T02:48:21Z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eyJoZGlkIjoiNDM4MDU4YmI3MzQ3M2VlYWU0MzhiMDdjZTY2ZmVhZGIiLCJ1c2VySWQiOiIxNDc1MjU1NzU0In0=</vt:lpwstr>
  </property>
  <property fmtid="{D5CDD505-2E9C-101B-9397-08002B2CF9AE}" pid="4" name="ICV">
    <vt:lpwstr>E5D4CC7C151946BBB29E26CB3D25B1C2_12</vt:lpwstr>
  </property>
</Properties>
</file>