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法务服务中心</w:t>
      </w:r>
      <w:r>
        <w:rPr>
          <w:rFonts w:hint="eastAsia" w:ascii="方正小标宋简体" w:hAnsi="方正小标宋简体" w:eastAsia="方正小标宋简体" w:cs="方正小标宋简体"/>
          <w:sz w:val="44"/>
          <w:szCs w:val="44"/>
        </w:rPr>
        <w:t>招聘岗位职责及任职条件</w:t>
      </w:r>
    </w:p>
    <w:tbl>
      <w:tblPr>
        <w:tblStyle w:val="12"/>
        <w:tblW w:w="14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051"/>
        <w:gridCol w:w="651"/>
        <w:gridCol w:w="3766"/>
        <w:gridCol w:w="1133"/>
        <w:gridCol w:w="1150"/>
        <w:gridCol w:w="52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8"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序号</w:t>
            </w:r>
          </w:p>
        </w:tc>
        <w:tc>
          <w:tcPr>
            <w:tcW w:w="1051"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岗位</w:t>
            </w:r>
          </w:p>
        </w:tc>
        <w:tc>
          <w:tcPr>
            <w:tcW w:w="651"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人数</w:t>
            </w:r>
          </w:p>
        </w:tc>
        <w:tc>
          <w:tcPr>
            <w:tcW w:w="3766"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主要职责</w:t>
            </w:r>
          </w:p>
        </w:tc>
        <w:tc>
          <w:tcPr>
            <w:tcW w:w="1133"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学历</w:t>
            </w:r>
          </w:p>
        </w:tc>
        <w:tc>
          <w:tcPr>
            <w:tcW w:w="1150"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年龄</w:t>
            </w:r>
          </w:p>
        </w:tc>
        <w:tc>
          <w:tcPr>
            <w:tcW w:w="5267" w:type="dxa"/>
            <w:noWrap w:val="0"/>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任职条件</w:t>
            </w:r>
          </w:p>
        </w:tc>
        <w:tc>
          <w:tcPr>
            <w:tcW w:w="850"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598" w:type="dxa"/>
            <w:noWrap w:val="0"/>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051" w:type="dxa"/>
            <w:noWrap w:val="0"/>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center"/>
              <w:rPr>
                <w:sz w:val="24"/>
              </w:rPr>
            </w:pPr>
            <w:r>
              <w:rPr>
                <w:rFonts w:ascii="仿宋_GB2312" w:hAnsi="仿宋_GB2312" w:eastAsia="仿宋_GB2312" w:cs="仿宋_GB2312"/>
                <w:color w:val="000000"/>
                <w:kern w:val="0"/>
                <w:sz w:val="24"/>
                <w:szCs w:val="24"/>
                <w:lang w:val="en-US" w:eastAsia="zh-CN" w:bidi="ar"/>
              </w:rPr>
              <w:t>法律</w:t>
            </w:r>
          </w:p>
          <w:p>
            <w:pPr>
              <w:keepNext w:val="0"/>
              <w:keepLines w:val="0"/>
              <w:widowControl/>
              <w:suppressLineNumbers w:val="0"/>
              <w:jc w:val="center"/>
              <w:rPr>
                <w:sz w:val="24"/>
              </w:rPr>
            </w:pPr>
            <w:r>
              <w:rPr>
                <w:rFonts w:ascii="仿宋_GB2312" w:hAnsi="仿宋_GB2312" w:eastAsia="仿宋_GB2312" w:cs="仿宋_GB2312"/>
                <w:color w:val="000000"/>
                <w:kern w:val="0"/>
                <w:sz w:val="24"/>
                <w:szCs w:val="24"/>
                <w:lang w:val="en-US" w:eastAsia="zh-CN" w:bidi="ar"/>
              </w:rPr>
              <w:t>顾问</w:t>
            </w:r>
          </w:p>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p>
        </w:tc>
        <w:tc>
          <w:tcPr>
            <w:tcW w:w="651"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766" w:type="dxa"/>
            <w:noWrap w:val="0"/>
            <w:vAlign w:val="center"/>
          </w:tcPr>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1.负责制度、合同的合法合规审核</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 xml:space="preserve">2.参与企业的合并、分立、破产、投资、租赁、资产转让、招投标等涉及企业权益的重要经营活动，对公司重大经营决策提出法律意见，审核相关法律文书。 </w:t>
            </w:r>
          </w:p>
          <w:p>
            <w:pPr>
              <w:widowControl/>
              <w:jc w:val="left"/>
              <w:rPr>
                <w:rFonts w:hint="eastAsia"/>
                <w:sz w:val="24"/>
                <w:lang w:val="en-US"/>
              </w:rPr>
            </w:pPr>
            <w:r>
              <w:rPr>
                <w:rFonts w:ascii="仿宋_GB2312" w:hAnsi="仿宋_GB2312" w:eastAsia="仿宋_GB2312" w:cs="仿宋_GB2312"/>
                <w:color w:val="000000"/>
                <w:kern w:val="0"/>
                <w:sz w:val="24"/>
                <w:szCs w:val="24"/>
                <w:lang w:val="en-US" w:eastAsia="zh-CN" w:bidi="ar"/>
              </w:rPr>
              <w:t>3.完成交办的其他工作。</w:t>
            </w:r>
          </w:p>
        </w:tc>
        <w:tc>
          <w:tcPr>
            <w:tcW w:w="1133"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val="en-US" w:eastAsia="zh-CN" w:bidi="ar"/>
              </w:rPr>
              <w:t>全日制</w:t>
            </w:r>
            <w:r>
              <w:rPr>
                <w:rFonts w:hint="eastAsia" w:ascii="仿宋_GB2312" w:hAnsi="仿宋_GB2312" w:eastAsia="仿宋_GB2312" w:cs="仿宋_GB2312"/>
                <w:sz w:val="24"/>
                <w:szCs w:val="24"/>
                <w:lang w:eastAsia="zh-CN"/>
              </w:rPr>
              <w:t>本科及以上</w:t>
            </w:r>
          </w:p>
        </w:tc>
        <w:tc>
          <w:tcPr>
            <w:tcW w:w="1150"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szCs w:val="24"/>
                <w:lang w:val="en-US" w:eastAsia="zh-CN"/>
              </w:rPr>
            </w:pPr>
            <w:r>
              <w:rPr>
                <w:rFonts w:hint="eastAsia" w:ascii="仿宋_GB2312" w:eastAsia="仿宋_GB2312" w:cs="仿宋_GB2312"/>
                <w:color w:val="000000"/>
                <w:kern w:val="2"/>
                <w:sz w:val="24"/>
                <w:szCs w:val="24"/>
                <w:lang w:val="en-US" w:eastAsia="zh-CN" w:bidi="ar-SA"/>
              </w:rPr>
              <w:t>40</w:t>
            </w:r>
            <w:r>
              <w:rPr>
                <w:rFonts w:hint="eastAsia" w:ascii="仿宋_GB2312" w:hAnsi="仿宋_GB2312" w:eastAsia="仿宋_GB2312" w:cs="仿宋_GB2312"/>
                <w:sz w:val="24"/>
                <w:szCs w:val="24"/>
                <w:lang w:val="en-US" w:eastAsia="zh-CN"/>
              </w:rPr>
              <w:t>周</w:t>
            </w:r>
            <w:r>
              <w:rPr>
                <w:rFonts w:hint="eastAsia" w:ascii="仿宋_GB2312" w:eastAsia="仿宋_GB2312" w:cs="仿宋_GB2312"/>
                <w:color w:val="000000"/>
                <w:kern w:val="2"/>
                <w:sz w:val="24"/>
                <w:szCs w:val="24"/>
                <w:lang w:val="en-US" w:eastAsia="zh-CN" w:bidi="ar-SA"/>
              </w:rPr>
              <w:t>岁及以下</w:t>
            </w:r>
          </w:p>
        </w:tc>
        <w:tc>
          <w:tcPr>
            <w:tcW w:w="5267" w:type="dxa"/>
            <w:noWrap w:val="0"/>
            <w:vAlign w:val="center"/>
          </w:tcPr>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1.法学专业</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2.具有法律职业资格</w:t>
            </w:r>
            <w:r>
              <w:rPr>
                <w:rFonts w:hint="eastAsia" w:ascii="仿宋_GB2312" w:hAnsi="仿宋_GB2312" w:eastAsia="仿宋_GB2312" w:cs="仿宋_GB2312"/>
                <w:color w:val="000000"/>
                <w:kern w:val="0"/>
                <w:sz w:val="24"/>
                <w:szCs w:val="24"/>
                <w:lang w:val="en-US" w:eastAsia="zh-CN" w:bidi="ar"/>
              </w:rPr>
              <w:t>A</w:t>
            </w:r>
            <w:r>
              <w:rPr>
                <w:rFonts w:ascii="仿宋_GB2312" w:hAnsi="仿宋_GB2312" w:eastAsia="仿宋_GB2312" w:cs="仿宋_GB2312"/>
                <w:color w:val="000000"/>
                <w:kern w:val="0"/>
                <w:sz w:val="24"/>
                <w:szCs w:val="24"/>
                <w:lang w:val="en-US" w:eastAsia="zh-CN" w:bidi="ar"/>
              </w:rPr>
              <w:t>证。</w:t>
            </w:r>
          </w:p>
          <w:p>
            <w:pPr>
              <w:pStyle w:val="8"/>
              <w:ind w:left="0" w:leftChars="0" w:firstLine="0" w:firstLineChars="0"/>
              <w:rPr>
                <w:rFonts w:hint="default"/>
                <w:sz w:val="24"/>
                <w:szCs w:val="24"/>
                <w:lang w:val="en-US"/>
              </w:rPr>
            </w:pPr>
            <w:r>
              <w:rPr>
                <w:rFonts w:hint="eastAsia" w:ascii="仿宋_GB2312" w:hAnsi="仿宋_GB2312" w:eastAsia="仿宋_GB2312" w:cs="仿宋_GB2312"/>
                <w:color w:val="000000"/>
                <w:kern w:val="0"/>
                <w:sz w:val="24"/>
                <w:szCs w:val="24"/>
                <w:lang w:val="en-US" w:eastAsia="zh-CN" w:bidi="ar"/>
              </w:rPr>
              <w:t>3.具有3年及以上相关工作经验。</w:t>
            </w:r>
          </w:p>
          <w:p>
            <w:pPr>
              <w:pStyle w:val="8"/>
              <w:widowControl w:val="0"/>
              <w:spacing w:line="360" w:lineRule="exact"/>
              <w:ind w:left="0" w:leftChars="0"/>
              <w:jc w:val="both"/>
              <w:rPr>
                <w:rFonts w:hint="eastAsia" w:ascii="仿宋_GB2312" w:hAnsi="仿宋_GB2312" w:eastAsia="仿宋_GB2312" w:cs="仿宋_GB2312"/>
                <w:sz w:val="24"/>
                <w:szCs w:val="24"/>
              </w:rPr>
            </w:pPr>
          </w:p>
        </w:tc>
        <w:tc>
          <w:tcPr>
            <w:tcW w:w="850"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598" w:type="dxa"/>
            <w:noWrap w:val="0"/>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051" w:type="dxa"/>
            <w:noWrap w:val="0"/>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center"/>
              <w:rPr>
                <w:sz w:val="24"/>
              </w:rPr>
            </w:pPr>
            <w:r>
              <w:rPr>
                <w:rFonts w:ascii="仿宋_GB2312" w:hAnsi="仿宋_GB2312" w:eastAsia="仿宋_GB2312" w:cs="仿宋_GB2312"/>
                <w:color w:val="000000"/>
                <w:kern w:val="0"/>
                <w:sz w:val="24"/>
                <w:szCs w:val="24"/>
                <w:lang w:val="en-US" w:eastAsia="zh-CN" w:bidi="ar"/>
              </w:rPr>
              <w:t>风险</w:t>
            </w:r>
          </w:p>
          <w:p>
            <w:pPr>
              <w:keepNext w:val="0"/>
              <w:keepLines w:val="0"/>
              <w:widowControl/>
              <w:suppressLineNumbers w:val="0"/>
              <w:jc w:val="center"/>
              <w:rPr>
                <w:sz w:val="24"/>
              </w:rPr>
            </w:pPr>
            <w:r>
              <w:rPr>
                <w:rFonts w:ascii="仿宋_GB2312" w:hAnsi="仿宋_GB2312" w:eastAsia="仿宋_GB2312" w:cs="仿宋_GB2312"/>
                <w:color w:val="000000"/>
                <w:kern w:val="0"/>
                <w:sz w:val="24"/>
                <w:szCs w:val="24"/>
                <w:lang w:val="en-US" w:eastAsia="zh-CN" w:bidi="ar"/>
              </w:rPr>
              <w:t>内控</w:t>
            </w:r>
          </w:p>
          <w:p>
            <w:pPr>
              <w:pStyle w:val="8"/>
              <w:widowControl w:val="0"/>
              <w:spacing w:line="360" w:lineRule="exact"/>
              <w:ind w:left="0" w:leftChars="0"/>
              <w:jc w:val="center"/>
              <w:rPr>
                <w:rFonts w:hint="default" w:ascii="仿宋_GB2312" w:hAnsi="仿宋_GB2312" w:eastAsia="仿宋_GB2312" w:cs="仿宋_GB2312"/>
                <w:sz w:val="24"/>
                <w:szCs w:val="24"/>
                <w:lang w:val="en-US"/>
              </w:rPr>
            </w:pPr>
          </w:p>
        </w:tc>
        <w:tc>
          <w:tcPr>
            <w:tcW w:w="651" w:type="dxa"/>
            <w:noWrap w:val="0"/>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766" w:type="dxa"/>
            <w:noWrap w:val="0"/>
            <w:vAlign w:val="center"/>
          </w:tcPr>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 xml:space="preserve">1.协助组织实施企业年度重大风险评估，组织对公司投资、并购等重大事项进行风险评估，出具风险评估报告。 </w:t>
            </w:r>
          </w:p>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 xml:space="preserve">2.对所属单位开展内控合规评价。 </w:t>
            </w:r>
          </w:p>
          <w:p>
            <w:pPr>
              <w:widowControl/>
              <w:jc w:val="left"/>
              <w:rPr>
                <w:rFonts w:hint="default"/>
                <w:sz w:val="24"/>
                <w:lang w:val="en-US"/>
              </w:rPr>
            </w:pPr>
            <w:r>
              <w:rPr>
                <w:rFonts w:ascii="仿宋_GB2312" w:hAnsi="仿宋_GB2312" w:eastAsia="仿宋_GB2312" w:cs="仿宋_GB2312"/>
                <w:color w:val="000000"/>
                <w:kern w:val="0"/>
                <w:sz w:val="24"/>
                <w:szCs w:val="24"/>
                <w:lang w:val="en-US" w:eastAsia="zh-CN" w:bidi="ar"/>
              </w:rPr>
              <w:t>3.完成交办的其他工作。</w:t>
            </w:r>
          </w:p>
        </w:tc>
        <w:tc>
          <w:tcPr>
            <w:tcW w:w="1133"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全日制</w:t>
            </w:r>
            <w:r>
              <w:rPr>
                <w:rFonts w:hint="eastAsia" w:ascii="仿宋_GB2312" w:hAnsi="仿宋_GB2312" w:eastAsia="仿宋_GB2312" w:cs="仿宋_GB2312"/>
                <w:sz w:val="24"/>
                <w:szCs w:val="24"/>
                <w:lang w:eastAsia="zh-CN"/>
              </w:rPr>
              <w:t>本科及以上</w:t>
            </w:r>
          </w:p>
        </w:tc>
        <w:tc>
          <w:tcPr>
            <w:tcW w:w="1150"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szCs w:val="24"/>
              </w:rPr>
            </w:pPr>
            <w:r>
              <w:rPr>
                <w:rFonts w:hint="eastAsia" w:ascii="仿宋_GB2312" w:eastAsia="仿宋_GB2312" w:cs="仿宋_GB2312"/>
                <w:color w:val="000000"/>
                <w:kern w:val="2"/>
                <w:sz w:val="24"/>
                <w:szCs w:val="24"/>
                <w:lang w:val="en-US" w:eastAsia="zh-CN" w:bidi="ar-SA"/>
              </w:rPr>
              <w:t>40</w:t>
            </w:r>
            <w:r>
              <w:rPr>
                <w:rFonts w:hint="eastAsia" w:ascii="仿宋_GB2312" w:hAnsi="仿宋_GB2312" w:eastAsia="仿宋_GB2312" w:cs="仿宋_GB2312"/>
                <w:sz w:val="24"/>
                <w:szCs w:val="24"/>
                <w:lang w:val="en-US" w:eastAsia="zh-CN"/>
              </w:rPr>
              <w:t>周</w:t>
            </w:r>
            <w:r>
              <w:rPr>
                <w:rFonts w:hint="eastAsia" w:ascii="仿宋_GB2312" w:eastAsia="仿宋_GB2312" w:cs="仿宋_GB2312"/>
                <w:color w:val="000000"/>
                <w:kern w:val="2"/>
                <w:sz w:val="24"/>
                <w:szCs w:val="24"/>
                <w:lang w:val="en-US" w:eastAsia="zh-CN" w:bidi="ar-SA"/>
              </w:rPr>
              <w:t>岁及以下</w:t>
            </w:r>
          </w:p>
        </w:tc>
        <w:tc>
          <w:tcPr>
            <w:tcW w:w="5267" w:type="dxa"/>
            <w:noWrap w:val="0"/>
            <w:vAlign w:val="center"/>
          </w:tcPr>
          <w:p>
            <w:pPr>
              <w:keepNext w:val="0"/>
              <w:keepLines w:val="0"/>
              <w:widowControl/>
              <w:suppressLineNumbers w:val="0"/>
              <w:jc w:val="left"/>
              <w:rPr>
                <w:sz w:val="24"/>
              </w:rPr>
            </w:pPr>
            <w:r>
              <w:rPr>
                <w:rFonts w:ascii="仿宋_GB2312" w:hAnsi="仿宋_GB2312" w:eastAsia="仿宋_GB2312" w:cs="仿宋_GB2312"/>
                <w:color w:val="000000"/>
                <w:kern w:val="0"/>
                <w:sz w:val="24"/>
                <w:szCs w:val="24"/>
                <w:lang w:val="en-US" w:eastAsia="zh-CN" w:bidi="ar"/>
              </w:rPr>
              <w:t>1.法学专业</w:t>
            </w:r>
            <w:r>
              <w:rPr>
                <w:rFonts w:hint="eastAsia" w:ascii="仿宋_GB2312" w:hAnsi="仿宋_GB2312" w:eastAsia="仿宋_GB2312" w:cs="仿宋_GB2312"/>
                <w:color w:val="000000"/>
                <w:kern w:val="0"/>
                <w:sz w:val="24"/>
                <w:szCs w:val="24"/>
                <w:lang w:val="en-US" w:eastAsia="zh-CN" w:bidi="ar"/>
              </w:rPr>
              <w:t>。</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2.具有法律职业资格</w:t>
            </w:r>
            <w:r>
              <w:rPr>
                <w:rFonts w:hint="eastAsia" w:ascii="仿宋_GB2312" w:hAnsi="仿宋_GB2312" w:eastAsia="仿宋_GB2312" w:cs="仿宋_GB2312"/>
                <w:color w:val="000000"/>
                <w:kern w:val="0"/>
                <w:sz w:val="24"/>
                <w:szCs w:val="24"/>
                <w:lang w:val="en-US" w:eastAsia="zh-CN" w:bidi="ar"/>
              </w:rPr>
              <w:t>A</w:t>
            </w:r>
            <w:r>
              <w:rPr>
                <w:rFonts w:ascii="仿宋_GB2312" w:hAnsi="仿宋_GB2312" w:eastAsia="仿宋_GB2312" w:cs="仿宋_GB2312"/>
                <w:color w:val="000000"/>
                <w:kern w:val="0"/>
                <w:sz w:val="24"/>
                <w:szCs w:val="24"/>
                <w:lang w:val="en-US" w:eastAsia="zh-CN" w:bidi="ar"/>
              </w:rPr>
              <w:t>证。</w:t>
            </w:r>
          </w:p>
          <w:p>
            <w:pPr>
              <w:pStyle w:val="8"/>
              <w:ind w:left="0" w:leftChars="0" w:firstLine="0" w:firstLineChars="0"/>
              <w:rPr>
                <w:rFonts w:hint="default"/>
                <w:sz w:val="24"/>
                <w:szCs w:val="24"/>
                <w:lang w:val="en-US"/>
              </w:rPr>
            </w:pPr>
            <w:r>
              <w:rPr>
                <w:rFonts w:hint="eastAsia" w:ascii="仿宋_GB2312" w:hAnsi="仿宋_GB2312" w:eastAsia="仿宋_GB2312" w:cs="仿宋_GB2312"/>
                <w:color w:val="000000"/>
                <w:kern w:val="0"/>
                <w:sz w:val="24"/>
                <w:szCs w:val="24"/>
                <w:lang w:val="en-US" w:eastAsia="zh-CN" w:bidi="ar"/>
              </w:rPr>
              <w:t>3.具有3年及以上相关工作经验。</w:t>
            </w:r>
          </w:p>
          <w:p>
            <w:pPr>
              <w:numPr>
                <w:ilvl w:val="0"/>
                <w:numId w:val="0"/>
              </w:numPr>
              <w:spacing w:line="240" w:lineRule="auto"/>
              <w:rPr>
                <w:rFonts w:hint="eastAsia" w:ascii="仿宋_GB2312" w:hAnsi="仿宋_GB2312" w:eastAsia="仿宋_GB2312" w:cs="仿宋_GB2312"/>
                <w:sz w:val="24"/>
                <w:highlight w:val="yellow"/>
              </w:rPr>
            </w:pPr>
          </w:p>
        </w:tc>
        <w:tc>
          <w:tcPr>
            <w:tcW w:w="850" w:type="dxa"/>
            <w:noWrap w:val="0"/>
            <w:vAlign w:val="center"/>
          </w:tcPr>
          <w:p>
            <w:pPr>
              <w:pStyle w:val="8"/>
              <w:widowControl w:val="0"/>
              <w:spacing w:line="360" w:lineRule="exact"/>
              <w:ind w:left="0" w:leftChars="0"/>
              <w:jc w:val="center"/>
              <w:rPr>
                <w:rFonts w:hint="eastAsia" w:ascii="仿宋_GB2312" w:hAnsi="仿宋_GB2312" w:eastAsia="仿宋_GB2312" w:cs="仿宋_GB2312"/>
                <w:sz w:val="24"/>
                <w:lang w:eastAsia="zh-CN"/>
              </w:rPr>
            </w:pPr>
          </w:p>
        </w:tc>
      </w:tr>
    </w:tbl>
    <w:p>
      <w:pPr>
        <w:pStyle w:val="4"/>
        <w:rPr>
          <w:rFonts w:hint="default" w:eastAsia="宋体"/>
          <w:lang w:eastAsia="zh-CN"/>
        </w:rPr>
      </w:pPr>
    </w:p>
    <w:p>
      <w:pPr>
        <w:rPr>
          <w:rFonts w:hint="default" w:eastAsia="宋体"/>
          <w:lang w:eastAsia="zh-CN"/>
        </w:rPr>
      </w:pPr>
    </w:p>
    <w:p>
      <w:pPr>
        <w:pStyle w:val="2"/>
        <w:rPr>
          <w:rFonts w:hint="default" w:eastAsia="宋体"/>
          <w:lang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技术中心招聘</w:t>
      </w:r>
      <w:r>
        <w:rPr>
          <w:rFonts w:hint="eastAsia" w:ascii="方正小标宋简体" w:hAnsi="方正小标宋简体" w:eastAsia="方正小标宋简体" w:cs="方正小标宋简体"/>
          <w:sz w:val="44"/>
          <w:szCs w:val="44"/>
        </w:rPr>
        <w:t>岗位职责及任职条件</w:t>
      </w:r>
    </w:p>
    <w:tbl>
      <w:tblPr>
        <w:tblStyle w:val="12"/>
        <w:tblW w:w="13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38"/>
        <w:gridCol w:w="850"/>
        <w:gridCol w:w="4593"/>
        <w:gridCol w:w="966"/>
        <w:gridCol w:w="96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4"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38"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岗位</w:t>
            </w:r>
          </w:p>
        </w:tc>
        <w:tc>
          <w:tcPr>
            <w:tcW w:w="850" w:type="dxa"/>
            <w:vAlign w:val="center"/>
          </w:tcPr>
          <w:p>
            <w:pPr>
              <w:pStyle w:val="8"/>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人数</w:t>
            </w:r>
          </w:p>
        </w:tc>
        <w:tc>
          <w:tcPr>
            <w:tcW w:w="4593"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主要职责</w:t>
            </w:r>
          </w:p>
        </w:tc>
        <w:tc>
          <w:tcPr>
            <w:tcW w:w="966"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966"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4416" w:type="dxa"/>
            <w:vAlign w:val="center"/>
          </w:tcPr>
          <w:p>
            <w:pPr>
              <w:pStyle w:val="8"/>
              <w:spacing w:line="360" w:lineRule="exact"/>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84" w:type="dxa"/>
            <w:vAlign w:val="center"/>
          </w:tcPr>
          <w:p>
            <w:pPr>
              <w:pStyle w:val="8"/>
              <w:numPr>
                <w:ilvl w:val="0"/>
                <w:numId w:val="0"/>
              </w:numPr>
              <w:spacing w:line="360" w:lineRule="exact"/>
              <w:ind w:leftChars="0"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38" w:type="dxa"/>
            <w:vAlign w:val="center"/>
          </w:tcPr>
          <w:p>
            <w:pPr>
              <w:pStyle w:val="8"/>
              <w:ind w:left="0" w:firstLine="0" w:firstLine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kern w:val="2"/>
                <w:sz w:val="24"/>
                <w:szCs w:val="24"/>
                <w:lang w:val="en-US" w:eastAsia="zh-CN" w:bidi="ar-SA"/>
              </w:rPr>
              <w:t>风电专业技术带头人</w:t>
            </w:r>
          </w:p>
        </w:tc>
        <w:tc>
          <w:tcPr>
            <w:tcW w:w="850" w:type="dxa"/>
            <w:vAlign w:val="center"/>
          </w:tcPr>
          <w:p>
            <w:pPr>
              <w:pStyle w:val="8"/>
              <w:spacing w:line="360" w:lineRule="exact"/>
              <w:ind w:left="0" w:lef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5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rPr>
              <w:t>1</w:t>
            </w:r>
            <w:r>
              <w:rPr>
                <w:rFonts w:hint="eastAsia" w:ascii="仿宋_GB2312" w:hAnsi="仿宋_GB2312" w:eastAsia="仿宋_GB2312" w:cs="仿宋_GB2312"/>
                <w:sz w:val="24"/>
                <w:szCs w:val="24"/>
                <w:lang w:val="en-US" w:eastAsia="zh-CN"/>
              </w:rPr>
              <w:t>.负责建立完善风机专业技术监督体系，优化完善风机专业技术监督管理标准及相关制度文件，负责审核风机专业技术监督计划并监督实施，负责风机专业技术监督现场检查工作，并监督问题整改情况；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2.负责组织开展区域内风机控制系统自主化研发与国产化推广应用工作；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3.负责组织提出和审核风机设备技术改造方案，组织开展风机设备技改方案的评审、实施和应用效果评价；</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4.负责搭建和优化完善风电场远程诊断管理平台，协助公司开展风电场智慧场站和数字化建设，提升现场运维工作效率；</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5.负责组织解决区域内风机专业疑难问题和批量性问题。</w:t>
            </w:r>
          </w:p>
        </w:tc>
        <w:tc>
          <w:tcPr>
            <w:tcW w:w="966" w:type="dxa"/>
            <w:vAlign w:val="center"/>
          </w:tcPr>
          <w:p>
            <w:pPr>
              <w:pStyle w:val="8"/>
              <w:spacing w:line="360" w:lineRule="exact"/>
              <w:ind w:lef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全日制硕士研究生及以上学历</w:t>
            </w:r>
          </w:p>
        </w:tc>
        <w:tc>
          <w:tcPr>
            <w:tcW w:w="966" w:type="dxa"/>
            <w:vAlign w:val="center"/>
          </w:tcPr>
          <w:p>
            <w:pPr>
              <w:pStyle w:val="8"/>
              <w:spacing w:line="360" w:lineRule="exact"/>
              <w:ind w:lef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45周岁及以下</w:t>
            </w:r>
          </w:p>
        </w:tc>
        <w:tc>
          <w:tcPr>
            <w:tcW w:w="4416"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能源动力类、电气工程类等相关专业；</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具有副高级及以上专业技术职称；</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具有15年及以上工作经历和10年及以上风电整机厂家控制系统研发经验；</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熟悉风电行业主流风机控制系统工作原理，掌握风机控制系统设计方法及开发流程，掌握风电行业主流PLC控制器应用方法，能够熟练应用GH Bladed软件进行控制系统开发和仿真测试，了解风机不同部件载荷产生机理，能够独立系统分析解决风机在现场运行过程中出现的疑难问题，熟悉风机运维技改工作；</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Chars="0"/>
              <w:jc w:val="both"/>
              <w:textAlignment w:val="auto"/>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具有一定的决策能力、组织能力和协调能力，具有带领团队的管理经验。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84" w:type="dxa"/>
            <w:vAlign w:val="center"/>
          </w:tcPr>
          <w:p>
            <w:pPr>
              <w:pStyle w:val="8"/>
              <w:numPr>
                <w:ilvl w:val="0"/>
                <w:numId w:val="0"/>
              </w:numPr>
              <w:spacing w:line="360" w:lineRule="exact"/>
              <w:ind w:leftChars="0" w:firstLine="240" w:firstLineChars="1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38" w:type="dxa"/>
            <w:vAlign w:val="center"/>
          </w:tcPr>
          <w:p>
            <w:pPr>
              <w:pStyle w:val="8"/>
              <w:ind w:left="0" w:firstLine="0" w:firstLine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kern w:val="2"/>
                <w:sz w:val="24"/>
                <w:szCs w:val="24"/>
                <w:lang w:val="en-US" w:eastAsia="zh-CN" w:bidi="ar-SA"/>
              </w:rPr>
              <w:t>PLC软件开发工程师</w:t>
            </w:r>
          </w:p>
        </w:tc>
        <w:tc>
          <w:tcPr>
            <w:tcW w:w="850" w:type="dxa"/>
            <w:vAlign w:val="center"/>
          </w:tcPr>
          <w:p>
            <w:pPr>
              <w:pStyle w:val="8"/>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p>
        </w:tc>
        <w:tc>
          <w:tcPr>
            <w:tcW w:w="4593"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1.负责进行区域内风机国产化PLC主控系统设备选型、软件逻辑开发和测试验证；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2.负责搭建风机主控系统软件仿真测试平台；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3.负责进行区域内风机主控系统相关疑难问题处理；</w:t>
            </w:r>
          </w:p>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4.负责开展区域内风机运行数据分析，制定风机能效提升优化和运行隐患处理方案；</w:t>
            </w:r>
          </w:p>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5.协助开展区域内风机专业技术监督现场检查工作，并监督问题整改情况。</w:t>
            </w:r>
          </w:p>
          <w:p>
            <w:pPr>
              <w:ind w:left="0" w:leftChars="0"/>
              <w:rPr>
                <w:rFonts w:ascii="仿宋_GB2312" w:hAnsi="仿宋_GB2312" w:eastAsia="仿宋_GB2312" w:cs="仿宋_GB2312"/>
                <w:kern w:val="2"/>
                <w:sz w:val="24"/>
                <w:szCs w:val="24"/>
                <w:lang w:val="en-US" w:eastAsia="zh-CN" w:bidi="ar-SA"/>
              </w:rPr>
            </w:pPr>
          </w:p>
        </w:tc>
        <w:tc>
          <w:tcPr>
            <w:tcW w:w="966" w:type="dxa"/>
            <w:vAlign w:val="center"/>
          </w:tcPr>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全日制本科及以上学历</w:t>
            </w:r>
          </w:p>
        </w:tc>
        <w:tc>
          <w:tcPr>
            <w:tcW w:w="966" w:type="dxa"/>
            <w:vAlign w:val="center"/>
          </w:tcPr>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40周岁及以下</w:t>
            </w:r>
          </w:p>
        </w:tc>
        <w:tc>
          <w:tcPr>
            <w:tcW w:w="44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1.计算机类、电子信息类、电气类、能源动力类等相关专业；</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2.具有5年以上风机行业控制系统设计开发经验，具有风机国产化PLC控制系统设计经验者优先；</w:t>
            </w:r>
          </w:p>
          <w:p>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3.精通C或者ST等风电行业主控系统PLC常用编程语言，熟练应用风电行业主流品牌PLC，具备风电行业主控系统PLC软件设计、编程、调试和现场问题处理能力；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4.熟悉风机控制系统运行原理，了解不同类型风机控制流程与逻辑，能够独立分析解决现场反馈的控制系统相关疑难问题；</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5.熟悉CanOpen、Modbus和IEC104等风电行业常用通讯规约；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6.具备良好的沟通和组织协调能力。</w:t>
            </w:r>
          </w:p>
        </w:tc>
      </w:tr>
    </w:tbl>
    <w:p>
      <w:pPr>
        <w:pStyle w:val="4"/>
        <w:rPr>
          <w:rFonts w:hint="default" w:eastAsia="宋体"/>
          <w:lang w:eastAsia="zh-CN"/>
        </w:rPr>
      </w:pPr>
    </w:p>
    <w:p>
      <w:pPr>
        <w:widowControl/>
        <w:jc w:val="left"/>
        <w:rPr>
          <w:rFonts w:ascii="仿宋" w:hAnsi="仿宋" w:eastAsia="仿宋" w:cs="仿宋"/>
          <w:sz w:val="24"/>
        </w:rPr>
      </w:pPr>
    </w:p>
    <w:p>
      <w:pPr>
        <w:pStyle w:val="2"/>
        <w:rPr>
          <w:rFonts w:ascii="仿宋" w:hAnsi="仿宋" w:eastAsia="仿宋" w:cs="仿宋"/>
          <w:sz w:val="24"/>
        </w:rPr>
      </w:pPr>
    </w:p>
    <w:p>
      <w:pPr>
        <w:pStyle w:val="3"/>
        <w:rPr>
          <w:rFonts w:ascii="仿宋" w:hAnsi="仿宋" w:eastAsia="仿宋" w:cs="仿宋"/>
          <w:sz w:val="24"/>
        </w:rPr>
      </w:pPr>
    </w:p>
    <w:p>
      <w:pPr>
        <w:pStyle w:val="4"/>
        <w:rPr>
          <w:rFonts w:ascii="仿宋" w:hAnsi="仿宋" w:eastAsia="仿宋" w:cs="仿宋"/>
          <w:sz w:val="24"/>
        </w:rPr>
      </w:pPr>
    </w:p>
    <w:p>
      <w:pPr>
        <w:rPr>
          <w:rFonts w:ascii="仿宋" w:hAnsi="仿宋" w:eastAsia="仿宋" w:cs="仿宋"/>
          <w:sz w:val="24"/>
        </w:rPr>
      </w:pPr>
    </w:p>
    <w:p>
      <w:pPr>
        <w:pStyle w:val="2"/>
        <w:rPr>
          <w:rFonts w:ascii="仿宋" w:hAnsi="仿宋" w:eastAsia="仿宋" w:cs="仿宋"/>
          <w:sz w:val="24"/>
        </w:rPr>
      </w:pPr>
    </w:p>
    <w:p>
      <w:pPr>
        <w:spacing w:line="560" w:lineRule="exact"/>
        <w:jc w:val="both"/>
        <w:rPr>
          <w:rFonts w:hint="eastAsia"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能源销售公司</w:t>
      </w:r>
      <w:r>
        <w:rPr>
          <w:rFonts w:hint="eastAsia" w:ascii="方正小标宋简体" w:hAnsi="方正小标宋简体" w:eastAsia="方正小标宋简体" w:cs="方正小标宋简体"/>
          <w:sz w:val="44"/>
          <w:szCs w:val="44"/>
        </w:rPr>
        <w:t>招聘岗位职责及任职条件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051"/>
        <w:gridCol w:w="651"/>
        <w:gridCol w:w="3864"/>
        <w:gridCol w:w="1125"/>
        <w:gridCol w:w="1069"/>
        <w:gridCol w:w="446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序号</w:t>
            </w:r>
          </w:p>
        </w:tc>
        <w:tc>
          <w:tcPr>
            <w:tcW w:w="1051"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岗位</w:t>
            </w:r>
          </w:p>
        </w:tc>
        <w:tc>
          <w:tcPr>
            <w:tcW w:w="651"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人数</w:t>
            </w:r>
          </w:p>
        </w:tc>
        <w:tc>
          <w:tcPr>
            <w:tcW w:w="3864"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主要职责</w:t>
            </w:r>
          </w:p>
        </w:tc>
        <w:tc>
          <w:tcPr>
            <w:tcW w:w="1125"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学历</w:t>
            </w:r>
          </w:p>
        </w:tc>
        <w:tc>
          <w:tcPr>
            <w:tcW w:w="1069"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年龄</w:t>
            </w:r>
          </w:p>
        </w:tc>
        <w:tc>
          <w:tcPr>
            <w:tcW w:w="4462" w:type="dxa"/>
            <w:vAlign w:val="center"/>
          </w:tcPr>
          <w:p>
            <w:pPr>
              <w:pStyle w:val="8"/>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任职条件</w:t>
            </w:r>
          </w:p>
        </w:tc>
        <w:tc>
          <w:tcPr>
            <w:tcW w:w="1219" w:type="dxa"/>
            <w:vAlign w:val="center"/>
          </w:tcPr>
          <w:p>
            <w:pPr>
              <w:pStyle w:val="8"/>
              <w:widowControl w:val="0"/>
              <w:spacing w:line="360" w:lineRule="exact"/>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598" w:type="dxa"/>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051" w:type="dxa"/>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交易高级经理</w:t>
            </w:r>
          </w:p>
        </w:tc>
        <w:tc>
          <w:tcPr>
            <w:tcW w:w="651" w:type="dxa"/>
            <w:vAlign w:val="center"/>
          </w:tcPr>
          <w:p>
            <w:pPr>
              <w:pStyle w:val="8"/>
              <w:widowControl w:val="0"/>
              <w:spacing w:line="360" w:lineRule="exact"/>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864" w:type="dxa"/>
            <w:vAlign w:val="center"/>
          </w:tcPr>
          <w:p>
            <w:pPr>
              <w:pStyle w:val="8"/>
              <w:widowControl w:val="0"/>
              <w:numPr>
                <w:ilvl w:val="0"/>
                <w:numId w:val="0"/>
              </w:numPr>
              <w:spacing w:line="240" w:lineRule="auto"/>
              <w:jc w:val="both"/>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1.</w:t>
            </w:r>
            <w:r>
              <w:rPr>
                <w:rFonts w:hint="eastAsia" w:ascii="仿宋_GB2312" w:eastAsia="仿宋_GB2312" w:cs="仿宋_GB2312" w:hAnsiTheme="minorHAnsi"/>
                <w:color w:val="000000"/>
                <w:kern w:val="2"/>
                <w:sz w:val="24"/>
                <w:szCs w:val="24"/>
                <w:lang w:val="en-US" w:eastAsia="zh-CN" w:bidi="ar-SA"/>
              </w:rPr>
              <w:t>负责电力市场形势分析及电力交易对外协调等工作，统筹开展交易策略制定并组织实施，落实河南公司售电侧交易策略。</w:t>
            </w:r>
          </w:p>
          <w:p>
            <w:pPr>
              <w:pStyle w:val="8"/>
              <w:widowControl w:val="0"/>
              <w:numPr>
                <w:ilvl w:val="0"/>
                <w:numId w:val="0"/>
              </w:numPr>
              <w:spacing w:line="240" w:lineRule="auto"/>
              <w:jc w:val="both"/>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2.</w:t>
            </w:r>
            <w:r>
              <w:rPr>
                <w:rFonts w:hint="eastAsia" w:ascii="仿宋_GB2312" w:eastAsia="仿宋_GB2312" w:cs="仿宋_GB2312" w:hAnsiTheme="minorHAnsi"/>
                <w:color w:val="000000"/>
                <w:kern w:val="2"/>
                <w:sz w:val="24"/>
                <w:szCs w:val="24"/>
                <w:lang w:val="en-US" w:eastAsia="zh-CN" w:bidi="ar-SA"/>
              </w:rPr>
              <w:t>负责市场分析、电价预测。负责用户数据汇总与分析，交易方案制定与执行。</w:t>
            </w:r>
          </w:p>
          <w:p>
            <w:pPr>
              <w:pStyle w:val="8"/>
              <w:widowControl w:val="0"/>
              <w:numPr>
                <w:ilvl w:val="0"/>
                <w:numId w:val="0"/>
              </w:numPr>
              <w:spacing w:line="240" w:lineRule="auto"/>
              <w:jc w:val="both"/>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3.</w:t>
            </w:r>
            <w:r>
              <w:rPr>
                <w:rFonts w:hint="eastAsia" w:ascii="仿宋_GB2312" w:eastAsia="仿宋_GB2312" w:cs="仿宋_GB2312" w:hAnsiTheme="minorHAnsi"/>
                <w:color w:val="000000"/>
                <w:kern w:val="2"/>
                <w:sz w:val="24"/>
                <w:szCs w:val="24"/>
                <w:lang w:val="en-US" w:eastAsia="zh-CN" w:bidi="ar-SA"/>
              </w:rPr>
              <w:t>负责交易操作与监护。</w:t>
            </w:r>
          </w:p>
          <w:p>
            <w:pPr>
              <w:pStyle w:val="8"/>
              <w:widowControl w:val="0"/>
              <w:numPr>
                <w:ilvl w:val="0"/>
                <w:numId w:val="0"/>
              </w:numPr>
              <w:spacing w:line="240" w:lineRule="auto"/>
              <w:jc w:val="both"/>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4.</w:t>
            </w:r>
            <w:r>
              <w:rPr>
                <w:rFonts w:hint="eastAsia" w:ascii="仿宋_GB2312" w:eastAsia="仿宋_GB2312" w:cs="仿宋_GB2312" w:hAnsiTheme="minorHAnsi"/>
                <w:color w:val="000000"/>
                <w:kern w:val="2"/>
                <w:sz w:val="24"/>
                <w:szCs w:val="24"/>
                <w:lang w:val="en-US" w:eastAsia="zh-CN" w:bidi="ar-SA"/>
              </w:rPr>
              <w:t>负责代理用户参与绿证绿电交易。</w:t>
            </w:r>
          </w:p>
          <w:p>
            <w:pPr>
              <w:pStyle w:val="8"/>
              <w:widowControl w:val="0"/>
              <w:numPr>
                <w:ilvl w:val="0"/>
                <w:numId w:val="0"/>
              </w:numPr>
              <w:spacing w:line="240" w:lineRule="auto"/>
              <w:jc w:val="both"/>
              <w:rPr>
                <w:rFonts w:hint="default" w:ascii="仿宋_GB2312" w:hAnsi="仿宋_GB2312" w:eastAsia="仿宋_GB2312" w:cs="仿宋_GB2312"/>
                <w:sz w:val="24"/>
                <w:szCs w:val="24"/>
                <w:lang w:val="en-US"/>
              </w:rPr>
            </w:pPr>
            <w:r>
              <w:rPr>
                <w:rFonts w:hint="eastAsia" w:ascii="仿宋_GB2312" w:eastAsia="仿宋_GB2312" w:cs="仿宋_GB2312"/>
                <w:color w:val="000000"/>
                <w:kern w:val="2"/>
                <w:sz w:val="24"/>
                <w:szCs w:val="24"/>
                <w:lang w:val="en-US" w:eastAsia="zh-CN" w:bidi="ar-SA"/>
              </w:rPr>
              <w:t>5.</w:t>
            </w:r>
            <w:r>
              <w:rPr>
                <w:rFonts w:hint="eastAsia" w:ascii="仿宋_GB2312" w:eastAsia="仿宋_GB2312" w:cs="仿宋_GB2312" w:hAnsiTheme="minorHAnsi"/>
                <w:color w:val="000000"/>
                <w:kern w:val="2"/>
                <w:sz w:val="24"/>
                <w:szCs w:val="24"/>
                <w:lang w:val="en-US" w:eastAsia="zh-CN" w:bidi="ar-SA"/>
              </w:rPr>
              <w:t>负责交易风险管理。</w:t>
            </w:r>
          </w:p>
        </w:tc>
        <w:tc>
          <w:tcPr>
            <w:tcW w:w="1125" w:type="dxa"/>
            <w:vAlign w:val="center"/>
          </w:tcPr>
          <w:p>
            <w:pPr>
              <w:pStyle w:val="8"/>
              <w:widowControl w:val="0"/>
              <w:spacing w:line="240" w:lineRule="auto"/>
              <w:ind w:left="0" w:lef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全日制</w:t>
            </w:r>
            <w:r>
              <w:rPr>
                <w:rFonts w:hint="eastAsia" w:ascii="仿宋_GB2312" w:hAnsi="仿宋_GB2312" w:eastAsia="仿宋_GB2312" w:cs="仿宋_GB2312"/>
                <w:sz w:val="24"/>
                <w:szCs w:val="24"/>
                <w:lang w:eastAsia="zh-CN"/>
              </w:rPr>
              <w:t>本科及以上</w:t>
            </w:r>
          </w:p>
        </w:tc>
        <w:tc>
          <w:tcPr>
            <w:tcW w:w="1069" w:type="dxa"/>
            <w:vAlign w:val="center"/>
          </w:tcPr>
          <w:p>
            <w:pPr>
              <w:pStyle w:val="8"/>
              <w:widowControl w:val="0"/>
              <w:spacing w:line="240" w:lineRule="auto"/>
              <w:ind w:left="0" w:left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35周岁及以下</w:t>
            </w:r>
          </w:p>
        </w:tc>
        <w:tc>
          <w:tcPr>
            <w:tcW w:w="44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hAnsiTheme="minorHAnsi"/>
                <w:color w:val="000000"/>
                <w:kern w:val="2"/>
                <w:sz w:val="24"/>
                <w:szCs w:val="24"/>
                <w:lang w:val="en-US" w:eastAsia="zh-CN" w:bidi="ar-SA"/>
              </w:rPr>
              <w:t>1.数学</w:t>
            </w:r>
            <w:r>
              <w:rPr>
                <w:rFonts w:hint="eastAsia" w:ascii="仿宋_GB2312" w:eastAsia="仿宋_GB2312" w:cs="仿宋_GB2312"/>
                <w:color w:val="000000"/>
                <w:kern w:val="2"/>
                <w:sz w:val="24"/>
                <w:szCs w:val="24"/>
                <w:lang w:val="en-US" w:eastAsia="zh-CN" w:bidi="ar-SA"/>
              </w:rPr>
              <w:t>类</w:t>
            </w:r>
            <w:r>
              <w:rPr>
                <w:rFonts w:hint="eastAsia" w:ascii="仿宋_GB2312" w:eastAsia="仿宋_GB2312" w:cs="仿宋_GB2312" w:hAnsiTheme="minorHAnsi"/>
                <w:color w:val="000000"/>
                <w:kern w:val="2"/>
                <w:sz w:val="24"/>
                <w:szCs w:val="24"/>
                <w:lang w:val="en-US" w:eastAsia="zh-CN" w:bidi="ar-SA"/>
              </w:rPr>
              <w:t>、经济</w:t>
            </w:r>
            <w:r>
              <w:rPr>
                <w:rFonts w:hint="eastAsia" w:ascii="仿宋_GB2312" w:eastAsia="仿宋_GB2312" w:cs="仿宋_GB2312"/>
                <w:color w:val="000000"/>
                <w:kern w:val="2"/>
                <w:sz w:val="24"/>
                <w:szCs w:val="24"/>
                <w:lang w:val="en-US" w:eastAsia="zh-CN" w:bidi="ar-SA"/>
              </w:rPr>
              <w:t>类、电气类相关</w:t>
            </w:r>
            <w:r>
              <w:rPr>
                <w:rFonts w:hint="eastAsia" w:ascii="仿宋_GB2312" w:eastAsia="仿宋_GB2312" w:cs="仿宋_GB2312" w:hAnsiTheme="minorHAnsi"/>
                <w:color w:val="000000"/>
                <w:kern w:val="2"/>
                <w:sz w:val="24"/>
                <w:szCs w:val="24"/>
                <w:lang w:val="en-US" w:eastAsia="zh-CN" w:bidi="ar-SA"/>
              </w:rPr>
              <w:t>专业，熟悉电力市场</w:t>
            </w:r>
            <w:r>
              <w:rPr>
                <w:rFonts w:hint="eastAsia" w:ascii="仿宋_GB2312" w:eastAsia="仿宋_GB2312" w:cs="仿宋_GB2312"/>
                <w:color w:val="000000"/>
                <w:kern w:val="2"/>
                <w:sz w:val="24"/>
                <w:szCs w:val="24"/>
                <w:lang w:val="en-US" w:eastAsia="zh-CN" w:bidi="ar-SA"/>
              </w:rPr>
              <w:t>基本原理、</w:t>
            </w:r>
            <w:r>
              <w:rPr>
                <w:rFonts w:hint="eastAsia" w:ascii="仿宋_GB2312" w:eastAsia="仿宋_GB2312" w:cs="仿宋_GB2312" w:hAnsiTheme="minorHAnsi"/>
                <w:color w:val="000000"/>
                <w:kern w:val="2"/>
                <w:sz w:val="24"/>
                <w:szCs w:val="24"/>
                <w:lang w:val="en-US" w:eastAsia="zh-CN" w:bidi="ar-SA"/>
              </w:rPr>
              <w:t>相关政策信息；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2.</w:t>
            </w:r>
            <w:r>
              <w:rPr>
                <w:rFonts w:hint="eastAsia" w:ascii="仿宋_GB2312" w:eastAsia="仿宋_GB2312" w:cs="仿宋_GB2312" w:hAnsiTheme="minorHAnsi"/>
                <w:color w:val="000000"/>
                <w:kern w:val="2"/>
                <w:sz w:val="24"/>
                <w:szCs w:val="24"/>
                <w:lang w:val="en-US" w:eastAsia="zh-CN" w:bidi="ar-SA"/>
              </w:rPr>
              <w:t>具有</w:t>
            </w:r>
            <w:r>
              <w:rPr>
                <w:rFonts w:hint="eastAsia" w:ascii="仿宋_GB2312" w:eastAsia="仿宋_GB2312" w:cs="仿宋_GB2312"/>
                <w:color w:val="000000"/>
                <w:kern w:val="2"/>
                <w:sz w:val="24"/>
                <w:szCs w:val="24"/>
                <w:lang w:val="en-US" w:eastAsia="zh-CN" w:bidi="ar-SA"/>
              </w:rPr>
              <w:t>5</w:t>
            </w:r>
            <w:r>
              <w:rPr>
                <w:rFonts w:hint="eastAsia" w:ascii="仿宋_GB2312" w:eastAsia="仿宋_GB2312" w:cs="仿宋_GB2312" w:hAnsiTheme="minorHAnsi"/>
                <w:color w:val="000000"/>
                <w:kern w:val="2"/>
                <w:sz w:val="24"/>
                <w:szCs w:val="24"/>
                <w:lang w:val="en-US" w:eastAsia="zh-CN" w:bidi="ar-SA"/>
              </w:rPr>
              <w:t>年以上电力生产</w:t>
            </w:r>
            <w:r>
              <w:rPr>
                <w:rFonts w:hint="eastAsia" w:ascii="仿宋_GB2312" w:eastAsia="仿宋_GB2312" w:cs="仿宋_GB2312"/>
                <w:color w:val="000000"/>
                <w:kern w:val="2"/>
                <w:sz w:val="24"/>
                <w:szCs w:val="24"/>
                <w:lang w:val="en-US" w:eastAsia="zh-CN" w:bidi="ar-SA"/>
              </w:rPr>
              <w:t>（含一年以上营销、交易工作经历）</w:t>
            </w:r>
            <w:r>
              <w:rPr>
                <w:rFonts w:hint="eastAsia" w:ascii="仿宋_GB2312" w:eastAsia="仿宋_GB2312" w:cs="仿宋_GB2312" w:hAnsiTheme="minorHAnsi"/>
                <w:color w:val="000000"/>
                <w:kern w:val="2"/>
                <w:sz w:val="24"/>
                <w:szCs w:val="24"/>
                <w:lang w:val="en-US" w:eastAsia="zh-CN" w:bidi="ar-SA"/>
              </w:rPr>
              <w:t>或电网运营</w:t>
            </w:r>
            <w:r>
              <w:rPr>
                <w:rFonts w:hint="eastAsia" w:ascii="仿宋_GB2312" w:eastAsia="仿宋_GB2312" w:cs="仿宋_GB2312"/>
                <w:color w:val="000000"/>
                <w:kern w:val="2"/>
                <w:sz w:val="24"/>
                <w:szCs w:val="24"/>
                <w:lang w:val="en-US" w:eastAsia="zh-CN" w:bidi="ar-SA"/>
              </w:rPr>
              <w:t>、设计等</w:t>
            </w:r>
            <w:r>
              <w:rPr>
                <w:rFonts w:hint="eastAsia" w:ascii="仿宋_GB2312" w:eastAsia="仿宋_GB2312" w:cs="仿宋_GB2312" w:hAnsiTheme="minorHAnsi"/>
                <w:color w:val="000000"/>
                <w:kern w:val="2"/>
                <w:sz w:val="24"/>
                <w:szCs w:val="24"/>
                <w:lang w:val="en-US" w:eastAsia="zh-CN" w:bidi="ar-SA"/>
              </w:rPr>
              <w:t>相关专业工作经历，</w:t>
            </w:r>
            <w:r>
              <w:rPr>
                <w:rFonts w:hint="eastAsia" w:ascii="仿宋_GB2312" w:eastAsia="仿宋_GB2312" w:cs="仿宋_GB2312"/>
                <w:color w:val="000000"/>
                <w:kern w:val="2"/>
                <w:sz w:val="24"/>
                <w:szCs w:val="24"/>
                <w:lang w:val="en-US" w:eastAsia="zh-CN" w:bidi="ar-SA"/>
              </w:rPr>
              <w:t>有</w:t>
            </w:r>
            <w:r>
              <w:rPr>
                <w:rFonts w:hint="eastAsia" w:ascii="仿宋_GB2312" w:eastAsia="仿宋_GB2312" w:cs="仿宋_GB2312" w:hAnsiTheme="minorHAnsi"/>
                <w:color w:val="000000"/>
                <w:kern w:val="2"/>
                <w:sz w:val="24"/>
                <w:szCs w:val="24"/>
                <w:lang w:val="en-US" w:eastAsia="zh-CN" w:bidi="ar-SA"/>
              </w:rPr>
              <w:t>省级</w:t>
            </w:r>
            <w:r>
              <w:rPr>
                <w:rFonts w:hint="eastAsia" w:ascii="仿宋_GB2312" w:eastAsia="仿宋_GB2312" w:cs="仿宋_GB2312"/>
                <w:color w:val="000000"/>
                <w:kern w:val="2"/>
                <w:sz w:val="24"/>
                <w:szCs w:val="24"/>
                <w:lang w:val="en-US" w:eastAsia="zh-CN" w:bidi="ar-SA"/>
              </w:rPr>
              <w:t>电力</w:t>
            </w:r>
            <w:r>
              <w:rPr>
                <w:rFonts w:hint="eastAsia" w:ascii="仿宋_GB2312" w:eastAsia="仿宋_GB2312" w:cs="仿宋_GB2312" w:hAnsiTheme="minorHAnsi"/>
                <w:color w:val="000000"/>
                <w:kern w:val="2"/>
                <w:sz w:val="24"/>
                <w:szCs w:val="24"/>
                <w:lang w:val="en-US" w:eastAsia="zh-CN" w:bidi="ar-SA"/>
              </w:rPr>
              <w:t>交易</w:t>
            </w:r>
            <w:r>
              <w:rPr>
                <w:rFonts w:hint="eastAsia" w:ascii="仿宋_GB2312" w:eastAsia="仿宋_GB2312" w:cs="仿宋_GB2312"/>
                <w:color w:val="000000"/>
                <w:kern w:val="2"/>
                <w:sz w:val="24"/>
                <w:szCs w:val="24"/>
                <w:lang w:val="en-US" w:eastAsia="zh-CN" w:bidi="ar-SA"/>
              </w:rPr>
              <w:t>机构或相关管理机构</w:t>
            </w:r>
            <w:r>
              <w:rPr>
                <w:rFonts w:hint="eastAsia" w:ascii="仿宋_GB2312" w:eastAsia="仿宋_GB2312" w:cs="仿宋_GB2312" w:hAnsiTheme="minorHAnsi"/>
                <w:color w:val="000000"/>
                <w:kern w:val="2"/>
                <w:sz w:val="24"/>
                <w:szCs w:val="24"/>
                <w:lang w:val="en-US" w:eastAsia="zh-CN" w:bidi="ar-SA"/>
              </w:rPr>
              <w:t>工作经历</w:t>
            </w:r>
            <w:r>
              <w:rPr>
                <w:rFonts w:hint="eastAsia" w:ascii="仿宋_GB2312" w:eastAsia="仿宋_GB2312" w:cs="仿宋_GB2312"/>
                <w:color w:val="000000"/>
                <w:kern w:val="2"/>
                <w:sz w:val="24"/>
                <w:szCs w:val="24"/>
                <w:lang w:val="en-US" w:eastAsia="zh-CN" w:bidi="ar-SA"/>
              </w:rPr>
              <w:t>者优先</w:t>
            </w:r>
            <w:r>
              <w:rPr>
                <w:rFonts w:hint="eastAsia" w:ascii="仿宋_GB2312" w:eastAsia="仿宋_GB2312" w:cs="仿宋_GB2312" w:hAnsiTheme="minorHAnsi"/>
                <w:color w:val="00000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3.</w:t>
            </w:r>
            <w:r>
              <w:rPr>
                <w:rFonts w:hint="eastAsia" w:ascii="仿宋_GB2312" w:eastAsia="仿宋_GB2312" w:cs="仿宋_GB2312" w:hAnsiTheme="minorHAnsi"/>
                <w:color w:val="000000"/>
                <w:kern w:val="2"/>
                <w:sz w:val="24"/>
                <w:szCs w:val="24"/>
                <w:lang w:val="en-US" w:eastAsia="zh-CN" w:bidi="ar-SA"/>
              </w:rPr>
              <w:t>逻辑思维清晰，具有较强的数据分析能力，沟通协调能力，组织能力、写作能力</w:t>
            </w:r>
            <w:r>
              <w:rPr>
                <w:rFonts w:hint="eastAsia" w:ascii="仿宋_GB2312" w:eastAsia="仿宋_GB2312" w:cs="仿宋_GB2312"/>
                <w:color w:val="00000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eastAsia="仿宋_GB2312" w:cs="仿宋_GB2312" w:hAnsiTheme="minorHAnsi"/>
                <w:color w:val="000000"/>
                <w:kern w:val="2"/>
                <w:sz w:val="24"/>
                <w:szCs w:val="24"/>
                <w:lang w:val="en-US" w:eastAsia="zh-CN" w:bidi="ar-SA"/>
              </w:rPr>
            </w:pPr>
            <w:r>
              <w:rPr>
                <w:rFonts w:hint="eastAsia" w:ascii="仿宋_GB2312" w:eastAsia="仿宋_GB2312" w:cs="仿宋_GB2312"/>
                <w:color w:val="000000"/>
                <w:kern w:val="2"/>
                <w:sz w:val="24"/>
                <w:szCs w:val="24"/>
                <w:lang w:val="en-US" w:eastAsia="zh-CN" w:bidi="ar-SA"/>
              </w:rPr>
              <w:t>4.</w:t>
            </w:r>
            <w:r>
              <w:rPr>
                <w:rFonts w:hint="eastAsia" w:ascii="仿宋_GB2312" w:eastAsia="仿宋_GB2312" w:cs="仿宋_GB2312" w:hAnsiTheme="minorHAnsi"/>
                <w:color w:val="000000"/>
                <w:kern w:val="2"/>
                <w:sz w:val="24"/>
                <w:szCs w:val="24"/>
                <w:lang w:val="en-US" w:eastAsia="zh-CN" w:bidi="ar-SA"/>
              </w:rPr>
              <w:t>具有优良的敬业精神，能够坚守职业操守，作风严谨，执行力强；</w:t>
            </w:r>
          </w:p>
          <w:p>
            <w:pPr>
              <w:widowControl w:val="0"/>
              <w:numPr>
                <w:ilvl w:val="0"/>
                <w:numId w:val="0"/>
              </w:numPr>
              <w:spacing w:line="240" w:lineRule="auto"/>
              <w:ind w:left="0" w:leftChars="0"/>
              <w:jc w:val="both"/>
              <w:rPr>
                <w:rFonts w:hint="eastAsia" w:ascii="仿宋_GB2312" w:hAnsi="仿宋_GB2312" w:eastAsia="仿宋_GB2312" w:cs="仿宋_GB2312"/>
                <w:sz w:val="24"/>
                <w:szCs w:val="24"/>
              </w:rPr>
            </w:pPr>
            <w:r>
              <w:rPr>
                <w:rFonts w:hint="eastAsia" w:ascii="仿宋_GB2312" w:eastAsia="仿宋_GB2312" w:cs="仿宋_GB2312"/>
                <w:color w:val="000000"/>
                <w:kern w:val="2"/>
                <w:sz w:val="24"/>
                <w:szCs w:val="24"/>
                <w:lang w:val="en-US" w:eastAsia="zh-CN" w:bidi="ar-SA"/>
              </w:rPr>
              <w:t>5.熟练</w:t>
            </w:r>
            <w:r>
              <w:rPr>
                <w:rFonts w:hint="eastAsia" w:ascii="仿宋_GB2312" w:eastAsia="仿宋_GB2312" w:cs="仿宋_GB2312" w:hAnsiTheme="minorHAnsi"/>
                <w:color w:val="000000"/>
                <w:kern w:val="2"/>
                <w:sz w:val="24"/>
                <w:szCs w:val="24"/>
                <w:lang w:val="en-US" w:eastAsia="zh-CN" w:bidi="ar-SA"/>
              </w:rPr>
              <w:t>运用办公软件</w:t>
            </w:r>
            <w:r>
              <w:rPr>
                <w:rFonts w:hint="eastAsia" w:ascii="仿宋_GB2312" w:eastAsia="仿宋_GB2312" w:cs="仿宋_GB2312"/>
                <w:color w:val="000000"/>
                <w:kern w:val="2"/>
                <w:sz w:val="24"/>
                <w:szCs w:val="24"/>
                <w:lang w:val="en-US" w:eastAsia="zh-CN" w:bidi="ar-SA"/>
              </w:rPr>
              <w:t>及</w:t>
            </w:r>
            <w:r>
              <w:rPr>
                <w:rFonts w:hint="eastAsia" w:ascii="仿宋_GB2312" w:eastAsia="仿宋_GB2312" w:cs="仿宋_GB2312" w:hAnsiTheme="minorHAnsi"/>
                <w:color w:val="000000"/>
                <w:kern w:val="2"/>
                <w:sz w:val="24"/>
                <w:szCs w:val="24"/>
                <w:lang w:val="en-US" w:eastAsia="zh-CN" w:bidi="ar-SA"/>
              </w:rPr>
              <w:t>AI</w:t>
            </w:r>
            <w:r>
              <w:rPr>
                <w:rFonts w:hint="eastAsia" w:ascii="仿宋_GB2312" w:eastAsia="仿宋_GB2312" w:cs="仿宋_GB2312"/>
                <w:color w:val="000000"/>
                <w:kern w:val="2"/>
                <w:sz w:val="24"/>
                <w:szCs w:val="24"/>
                <w:lang w:val="en-US" w:eastAsia="zh-CN" w:bidi="ar-SA"/>
              </w:rPr>
              <w:t>等智能工具。</w:t>
            </w:r>
          </w:p>
        </w:tc>
        <w:tc>
          <w:tcPr>
            <w:tcW w:w="1219" w:type="dxa"/>
            <w:vAlign w:val="center"/>
          </w:tcPr>
          <w:p>
            <w:pPr>
              <w:pStyle w:val="8"/>
              <w:widowControl w:val="0"/>
              <w:spacing w:line="360" w:lineRule="exact"/>
              <w:ind w:left="0" w:leftChars="0"/>
              <w:jc w:val="center"/>
              <w:rPr>
                <w:rFonts w:hint="eastAsia" w:ascii="仿宋_GB2312" w:hAnsi="仿宋_GB2312" w:eastAsia="仿宋_GB2312" w:cs="仿宋_GB2312"/>
                <w:sz w:val="24"/>
                <w:szCs w:val="24"/>
                <w:lang w:eastAsia="zh-CN"/>
              </w:rPr>
            </w:pPr>
          </w:p>
        </w:tc>
      </w:tr>
    </w:tbl>
    <w:p>
      <w:pPr>
        <w:pStyle w:val="4"/>
      </w:pPr>
    </w:p>
    <w:sectPr>
      <w:pgSz w:w="16838" w:h="11906" w:orient="landscape"/>
      <w:pgMar w:top="1797" w:right="1418" w:bottom="179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9B9060-A762-4C9D-B436-F154774D61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A7BBF5-71D9-4F3F-84FC-70CE86C27171}"/>
  </w:font>
  <w:font w:name="仿宋_GB2312">
    <w:panose1 w:val="02010609030101010101"/>
    <w:charset w:val="86"/>
    <w:family w:val="modern"/>
    <w:pitch w:val="default"/>
    <w:sig w:usb0="00000001" w:usb1="080E0000" w:usb2="00000000" w:usb3="00000000" w:csb0="00040000" w:csb1="00000000"/>
    <w:embedRegular r:id="rId3" w:fontKey="{A2A1258B-CD03-4AFA-8570-EDE087BBF08D}"/>
  </w:font>
  <w:font w:name="方正小标宋简体">
    <w:panose1 w:val="02000000000000000000"/>
    <w:charset w:val="86"/>
    <w:family w:val="script"/>
    <w:pitch w:val="default"/>
    <w:sig w:usb0="A00002BF" w:usb1="184F6CFA" w:usb2="00000012" w:usb3="00000000" w:csb0="00040001" w:csb1="00000000"/>
    <w:embedRegular r:id="rId4" w:fontKey="{B92A5926-CD8E-40B8-BA5A-E6848E585B0F}"/>
  </w:font>
  <w:font w:name="仿宋">
    <w:panose1 w:val="02010609060101010101"/>
    <w:charset w:val="86"/>
    <w:family w:val="modern"/>
    <w:pitch w:val="default"/>
    <w:sig w:usb0="800002BF" w:usb1="38CF7CFA" w:usb2="00000016" w:usb3="00000000" w:csb0="00040001" w:csb1="00000000"/>
    <w:embedRegular r:id="rId5" w:fontKey="{6FB52202-191D-40A1-8B32-06DDFADB24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81022"/>
    <w:multiLevelType w:val="singleLevel"/>
    <w:tmpl w:val="8C6810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M2VmZThjZDdkMTA5NjQ1OTM2NGQwOWViNDVlMGEifQ=="/>
  </w:docVars>
  <w:rsids>
    <w:rsidRoot w:val="00135151"/>
    <w:rsid w:val="00027481"/>
    <w:rsid w:val="00065480"/>
    <w:rsid w:val="00076361"/>
    <w:rsid w:val="00080BFF"/>
    <w:rsid w:val="000A1E3E"/>
    <w:rsid w:val="000B1C6C"/>
    <w:rsid w:val="000C57A2"/>
    <w:rsid w:val="000E5144"/>
    <w:rsid w:val="000F5601"/>
    <w:rsid w:val="00135151"/>
    <w:rsid w:val="00152696"/>
    <w:rsid w:val="0016353A"/>
    <w:rsid w:val="00173EA0"/>
    <w:rsid w:val="00174E96"/>
    <w:rsid w:val="001A2C61"/>
    <w:rsid w:val="00207999"/>
    <w:rsid w:val="00213716"/>
    <w:rsid w:val="002631A6"/>
    <w:rsid w:val="00287663"/>
    <w:rsid w:val="002914B5"/>
    <w:rsid w:val="002A3755"/>
    <w:rsid w:val="002B181E"/>
    <w:rsid w:val="002C1A6C"/>
    <w:rsid w:val="002D2CFE"/>
    <w:rsid w:val="002D58D8"/>
    <w:rsid w:val="002D5BAF"/>
    <w:rsid w:val="002E1FFC"/>
    <w:rsid w:val="00377ECD"/>
    <w:rsid w:val="003818BF"/>
    <w:rsid w:val="003B3889"/>
    <w:rsid w:val="003C4CAE"/>
    <w:rsid w:val="003F27A7"/>
    <w:rsid w:val="00411167"/>
    <w:rsid w:val="004159C7"/>
    <w:rsid w:val="00442D25"/>
    <w:rsid w:val="004465FC"/>
    <w:rsid w:val="00474D3C"/>
    <w:rsid w:val="00480AC5"/>
    <w:rsid w:val="00496134"/>
    <w:rsid w:val="004A7F0A"/>
    <w:rsid w:val="004C3B2F"/>
    <w:rsid w:val="004E2FF2"/>
    <w:rsid w:val="004F6358"/>
    <w:rsid w:val="00533B80"/>
    <w:rsid w:val="00553BF0"/>
    <w:rsid w:val="00556DCD"/>
    <w:rsid w:val="005713C8"/>
    <w:rsid w:val="00572E25"/>
    <w:rsid w:val="00584196"/>
    <w:rsid w:val="00591AA6"/>
    <w:rsid w:val="00593414"/>
    <w:rsid w:val="005A5C84"/>
    <w:rsid w:val="005D2AC7"/>
    <w:rsid w:val="00600856"/>
    <w:rsid w:val="006231DA"/>
    <w:rsid w:val="006653C2"/>
    <w:rsid w:val="0066548C"/>
    <w:rsid w:val="0067514F"/>
    <w:rsid w:val="006B1109"/>
    <w:rsid w:val="006C2946"/>
    <w:rsid w:val="0070181B"/>
    <w:rsid w:val="007027BD"/>
    <w:rsid w:val="007A6420"/>
    <w:rsid w:val="007A6FFE"/>
    <w:rsid w:val="007C21CA"/>
    <w:rsid w:val="007C619C"/>
    <w:rsid w:val="007F1A81"/>
    <w:rsid w:val="007F39C9"/>
    <w:rsid w:val="00805907"/>
    <w:rsid w:val="00821ADC"/>
    <w:rsid w:val="008520DE"/>
    <w:rsid w:val="00864F4E"/>
    <w:rsid w:val="00884184"/>
    <w:rsid w:val="008D0720"/>
    <w:rsid w:val="008D4AA2"/>
    <w:rsid w:val="0090259D"/>
    <w:rsid w:val="00914DBC"/>
    <w:rsid w:val="0091546A"/>
    <w:rsid w:val="00925F20"/>
    <w:rsid w:val="00934F8A"/>
    <w:rsid w:val="0093664D"/>
    <w:rsid w:val="00952B96"/>
    <w:rsid w:val="00980B33"/>
    <w:rsid w:val="009950EC"/>
    <w:rsid w:val="009C16AA"/>
    <w:rsid w:val="009C6BB1"/>
    <w:rsid w:val="00A2710D"/>
    <w:rsid w:val="00A80564"/>
    <w:rsid w:val="00AA23FD"/>
    <w:rsid w:val="00AA2C7A"/>
    <w:rsid w:val="00AC68D8"/>
    <w:rsid w:val="00AE69EE"/>
    <w:rsid w:val="00AF10D4"/>
    <w:rsid w:val="00AF2A6F"/>
    <w:rsid w:val="00AF46AE"/>
    <w:rsid w:val="00AF5484"/>
    <w:rsid w:val="00B02108"/>
    <w:rsid w:val="00B055DD"/>
    <w:rsid w:val="00B31DED"/>
    <w:rsid w:val="00B47C73"/>
    <w:rsid w:val="00B530CA"/>
    <w:rsid w:val="00B955A8"/>
    <w:rsid w:val="00BC4EAA"/>
    <w:rsid w:val="00BD4762"/>
    <w:rsid w:val="00BD5DAA"/>
    <w:rsid w:val="00C01D11"/>
    <w:rsid w:val="00C273FA"/>
    <w:rsid w:val="00C9516F"/>
    <w:rsid w:val="00CA0384"/>
    <w:rsid w:val="00CA6C29"/>
    <w:rsid w:val="00CC0011"/>
    <w:rsid w:val="00CD1F45"/>
    <w:rsid w:val="00CE060A"/>
    <w:rsid w:val="00D06A78"/>
    <w:rsid w:val="00D120DE"/>
    <w:rsid w:val="00D310A3"/>
    <w:rsid w:val="00D7039C"/>
    <w:rsid w:val="00D83E0D"/>
    <w:rsid w:val="00D908B1"/>
    <w:rsid w:val="00DA3114"/>
    <w:rsid w:val="00DA619E"/>
    <w:rsid w:val="00DD258E"/>
    <w:rsid w:val="00DD73F0"/>
    <w:rsid w:val="00DE59E6"/>
    <w:rsid w:val="00E212D3"/>
    <w:rsid w:val="00E7506A"/>
    <w:rsid w:val="00E75097"/>
    <w:rsid w:val="00E8479D"/>
    <w:rsid w:val="00EB6FD9"/>
    <w:rsid w:val="00EE731A"/>
    <w:rsid w:val="00F07E4B"/>
    <w:rsid w:val="00F722C2"/>
    <w:rsid w:val="00F87CA2"/>
    <w:rsid w:val="00F92B5E"/>
    <w:rsid w:val="00FD1674"/>
    <w:rsid w:val="00FE1F4C"/>
    <w:rsid w:val="00FE28EF"/>
    <w:rsid w:val="016E4D66"/>
    <w:rsid w:val="025B36EA"/>
    <w:rsid w:val="02BB4024"/>
    <w:rsid w:val="04A647CA"/>
    <w:rsid w:val="053F077B"/>
    <w:rsid w:val="095D4FC4"/>
    <w:rsid w:val="097C5DEC"/>
    <w:rsid w:val="0A0F4BBF"/>
    <w:rsid w:val="0C900098"/>
    <w:rsid w:val="0CE962A4"/>
    <w:rsid w:val="0D111DC0"/>
    <w:rsid w:val="0D191161"/>
    <w:rsid w:val="0D8D35C8"/>
    <w:rsid w:val="0F0C791F"/>
    <w:rsid w:val="0FC90073"/>
    <w:rsid w:val="10181A75"/>
    <w:rsid w:val="110B7786"/>
    <w:rsid w:val="119A3908"/>
    <w:rsid w:val="119A39C6"/>
    <w:rsid w:val="12E82452"/>
    <w:rsid w:val="149D101A"/>
    <w:rsid w:val="16A947CF"/>
    <w:rsid w:val="18F97E6B"/>
    <w:rsid w:val="191721F3"/>
    <w:rsid w:val="19434886"/>
    <w:rsid w:val="19C9212C"/>
    <w:rsid w:val="1A5A1E87"/>
    <w:rsid w:val="1A8F1764"/>
    <w:rsid w:val="1B644D72"/>
    <w:rsid w:val="1BF871B0"/>
    <w:rsid w:val="1C9D2600"/>
    <w:rsid w:val="1D693FA0"/>
    <w:rsid w:val="1DD01C83"/>
    <w:rsid w:val="1E7D6144"/>
    <w:rsid w:val="1E943B78"/>
    <w:rsid w:val="21B207FA"/>
    <w:rsid w:val="228C104B"/>
    <w:rsid w:val="23FE1AD5"/>
    <w:rsid w:val="244514B2"/>
    <w:rsid w:val="245D1AE1"/>
    <w:rsid w:val="24BE3012"/>
    <w:rsid w:val="257E5336"/>
    <w:rsid w:val="25F712C5"/>
    <w:rsid w:val="274B2CDE"/>
    <w:rsid w:val="2753038A"/>
    <w:rsid w:val="27557B3C"/>
    <w:rsid w:val="28975DA4"/>
    <w:rsid w:val="29310257"/>
    <w:rsid w:val="2B050D6C"/>
    <w:rsid w:val="2C667C58"/>
    <w:rsid w:val="2CD6384B"/>
    <w:rsid w:val="2CFD572A"/>
    <w:rsid w:val="2E124403"/>
    <w:rsid w:val="2FDE2FFD"/>
    <w:rsid w:val="30316D8E"/>
    <w:rsid w:val="304C3BC8"/>
    <w:rsid w:val="31966F7D"/>
    <w:rsid w:val="319E66A5"/>
    <w:rsid w:val="31B76CFA"/>
    <w:rsid w:val="328E5CC4"/>
    <w:rsid w:val="33072028"/>
    <w:rsid w:val="33B82A9C"/>
    <w:rsid w:val="350D6643"/>
    <w:rsid w:val="35DE7D30"/>
    <w:rsid w:val="36004905"/>
    <w:rsid w:val="36372C24"/>
    <w:rsid w:val="36A95842"/>
    <w:rsid w:val="37227431"/>
    <w:rsid w:val="374B6987"/>
    <w:rsid w:val="37B407CB"/>
    <w:rsid w:val="39480AE9"/>
    <w:rsid w:val="39822E68"/>
    <w:rsid w:val="3A0042BC"/>
    <w:rsid w:val="3A600A11"/>
    <w:rsid w:val="3BAF6722"/>
    <w:rsid w:val="3DE2756C"/>
    <w:rsid w:val="3E7A4D09"/>
    <w:rsid w:val="3EA51073"/>
    <w:rsid w:val="3EF303CA"/>
    <w:rsid w:val="3EF6572F"/>
    <w:rsid w:val="3F2D7D6C"/>
    <w:rsid w:val="41263FC1"/>
    <w:rsid w:val="42C843AA"/>
    <w:rsid w:val="43016A94"/>
    <w:rsid w:val="43D05BEC"/>
    <w:rsid w:val="44444E8A"/>
    <w:rsid w:val="44997E1B"/>
    <w:rsid w:val="44BA15F0"/>
    <w:rsid w:val="4549123C"/>
    <w:rsid w:val="457D2990"/>
    <w:rsid w:val="45F70B12"/>
    <w:rsid w:val="46A9191C"/>
    <w:rsid w:val="474304A7"/>
    <w:rsid w:val="477757BD"/>
    <w:rsid w:val="4957740E"/>
    <w:rsid w:val="498403A2"/>
    <w:rsid w:val="4A133811"/>
    <w:rsid w:val="4A40247C"/>
    <w:rsid w:val="4B8A07EF"/>
    <w:rsid w:val="4BB47DB5"/>
    <w:rsid w:val="4BB5666E"/>
    <w:rsid w:val="4C341C88"/>
    <w:rsid w:val="4C3B0849"/>
    <w:rsid w:val="4E820B3A"/>
    <w:rsid w:val="4E8A5B90"/>
    <w:rsid w:val="4F664424"/>
    <w:rsid w:val="4FEB742F"/>
    <w:rsid w:val="52223FF9"/>
    <w:rsid w:val="52A43F2E"/>
    <w:rsid w:val="52F027B5"/>
    <w:rsid w:val="540E28F4"/>
    <w:rsid w:val="5632548A"/>
    <w:rsid w:val="57A2219C"/>
    <w:rsid w:val="57B622D0"/>
    <w:rsid w:val="57BB0C6C"/>
    <w:rsid w:val="586B7D92"/>
    <w:rsid w:val="5A7D2A4C"/>
    <w:rsid w:val="5B133862"/>
    <w:rsid w:val="5B9A197D"/>
    <w:rsid w:val="5C0851E2"/>
    <w:rsid w:val="5C564D8D"/>
    <w:rsid w:val="5CCC024F"/>
    <w:rsid w:val="5F7C7776"/>
    <w:rsid w:val="609F0916"/>
    <w:rsid w:val="60F61640"/>
    <w:rsid w:val="615838CB"/>
    <w:rsid w:val="647460D4"/>
    <w:rsid w:val="64814073"/>
    <w:rsid w:val="65900F7E"/>
    <w:rsid w:val="68CA3301"/>
    <w:rsid w:val="691B0000"/>
    <w:rsid w:val="692A0E0F"/>
    <w:rsid w:val="69EB6608"/>
    <w:rsid w:val="6A883473"/>
    <w:rsid w:val="6AA61446"/>
    <w:rsid w:val="6AD02B4C"/>
    <w:rsid w:val="6E355CDD"/>
    <w:rsid w:val="6E8A1B0E"/>
    <w:rsid w:val="6E9C3E88"/>
    <w:rsid w:val="6EF32CF7"/>
    <w:rsid w:val="70912511"/>
    <w:rsid w:val="71AC5D0E"/>
    <w:rsid w:val="74061605"/>
    <w:rsid w:val="748A7E03"/>
    <w:rsid w:val="74BE3624"/>
    <w:rsid w:val="759A22AD"/>
    <w:rsid w:val="76435113"/>
    <w:rsid w:val="764A5A81"/>
    <w:rsid w:val="76D417EE"/>
    <w:rsid w:val="7764745F"/>
    <w:rsid w:val="78146346"/>
    <w:rsid w:val="78D20C44"/>
    <w:rsid w:val="7BCE46CB"/>
    <w:rsid w:val="7C826605"/>
    <w:rsid w:val="7E51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adjustRightInd w:val="0"/>
      <w:spacing w:line="560" w:lineRule="exact"/>
      <w:ind w:firstLine="646"/>
      <w:textAlignment w:val="baseline"/>
    </w:pPr>
    <w:rPr>
      <w:rFonts w:ascii="仿宋_GB2312" w:hAnsi="宋体" w:eastAsia="仿宋_GB2312"/>
      <w:kern w:val="0"/>
      <w:szCs w:val="20"/>
    </w:rPr>
  </w:style>
  <w:style w:type="paragraph" w:styleId="4">
    <w:name w:val="Body Text"/>
    <w:basedOn w:val="1"/>
    <w:next w:val="1"/>
    <w:qFormat/>
    <w:uiPriority w:val="0"/>
    <w:pPr>
      <w:autoSpaceDE w:val="0"/>
      <w:autoSpaceDN w:val="0"/>
      <w:adjustRightInd w:val="0"/>
      <w:spacing w:before="58"/>
      <w:jc w:val="left"/>
    </w:pPr>
    <w:rPr>
      <w:rFonts w:ascii="仿宋_GB2312" w:hAnsi="Calibri" w:eastAsia="仿宋_GB2312" w:cs="仿宋_GB2312"/>
      <w:sz w:val="32"/>
      <w:szCs w:val="32"/>
    </w:rPr>
  </w:style>
  <w:style w:type="paragraph" w:styleId="5">
    <w:name w:val="Date"/>
    <w:basedOn w:val="1"/>
    <w:next w:val="1"/>
    <w:link w:val="16"/>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toc 4"/>
    <w:basedOn w:val="1"/>
    <w:next w:val="1"/>
    <w:qFormat/>
    <w:uiPriority w:val="0"/>
    <w:pPr>
      <w:ind w:left="630"/>
      <w:jc w:val="left"/>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
    <w:qFormat/>
    <w:uiPriority w:val="0"/>
    <w:pPr>
      <w:ind w:firstLine="420" w:firstLineChars="1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qFormat/>
    <w:uiPriority w:val="0"/>
    <w:rPr>
      <w:kern w:val="2"/>
      <w:sz w:val="18"/>
      <w:szCs w:val="18"/>
    </w:rPr>
  </w:style>
  <w:style w:type="character" w:customStyle="1" w:styleId="15">
    <w:name w:val="页脚 字符"/>
    <w:basedOn w:val="13"/>
    <w:link w:val="6"/>
    <w:qFormat/>
    <w:uiPriority w:val="0"/>
    <w:rPr>
      <w:kern w:val="2"/>
      <w:sz w:val="18"/>
      <w:szCs w:val="18"/>
    </w:rPr>
  </w:style>
  <w:style w:type="character" w:customStyle="1" w:styleId="16">
    <w:name w:val="日期 字符"/>
    <w:basedOn w:val="13"/>
    <w:link w:val="5"/>
    <w:qFormat/>
    <w:uiPriority w:val="0"/>
    <w:rPr>
      <w:kern w:val="2"/>
      <w:sz w:val="21"/>
      <w:szCs w:val="24"/>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920</Words>
  <Characters>958</Characters>
  <Lines>21</Lines>
  <Paragraphs>6</Paragraphs>
  <TotalTime>37</TotalTime>
  <ScaleCrop>false</ScaleCrop>
  <LinksUpToDate>false</LinksUpToDate>
  <CharactersWithSpaces>959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2024-03-18T02:41:00Z</dcterms:created>
  <dc:creator>X1yoga</dc:creator>
  <cp:lastModifiedBy>巨星</cp:lastModifiedBy>
  <cp:lastPrinted>2024-03-21T03:06:00Z</cp:lastPrinted>
  <dcterms:modified xsi:type="dcterms:W3CDTF">2025-09-19T09:26:39Z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B2B65F2D97B94440BC76F8E009333591_13</vt:lpwstr>
  </property>
</Properties>
</file>