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6855"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02ED708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bookmarkEnd w:id="0"/>
    <w:p w14:paraId="1C550AB8"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p w14:paraId="62D541F3">
      <w:pPr>
        <w:spacing w:line="240" w:lineRule="auto"/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  <w:t>说明：</w:t>
      </w:r>
    </w:p>
    <w:p w14:paraId="22E0BA70">
      <w:pPr>
        <w:spacing w:line="240" w:lineRule="auto"/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 w14:paraId="57EEEE3F">
      <w:pPr>
        <w:spacing w:line="240" w:lineRule="auto"/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 w14:paraId="57C43096">
      <w:pPr>
        <w:spacing w:line="240" w:lineRule="auto"/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  <w:t>三、本目录仅适用于全省公务员招录的专业条件设置及审核，考生应参照此目录进行报考。</w:t>
      </w:r>
    </w:p>
    <w:p w14:paraId="768FD64D">
      <w:pPr>
        <w:spacing w:line="240" w:lineRule="auto"/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51AF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6F1E01C0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0454824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 w14:paraId="5B06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7DDC4C6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36A6E2C6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76B2947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4857A08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 w14:paraId="52E6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A03FE9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56375A9D"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2E21D459"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5AED8B23"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 w14:paraId="0BCF0E91"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</w:tbl>
    <w:p w14:paraId="0E134F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cols w:space="720" w:num="1"/>
          <w:rtlGutter w:val="0"/>
          <w:docGrid w:type="linesAndChars" w:linePitch="579" w:charSpace="-842"/>
        </w:sectPr>
      </w:pPr>
    </w:p>
    <w:p w14:paraId="532FE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609E7"/>
    <w:rsid w:val="5AF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2025-09-25T10:56:00Z</dcterms:created>
  <dc:creator>WPS_1616494426</dc:creator>
  <cp:lastModifiedBy>WPS_1616494426</cp:lastModifiedBy>
  <dcterms:modified xsi:type="dcterms:W3CDTF">2025-09-25T10:57:22Z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E49A72A7070346E384ED1D7C0462F570_11</vt:lpwstr>
  </property>
  <property fmtid="{D5CDD505-2E9C-101B-9397-08002B2CF9AE}" pid="4" name="KSOTemplateDocerSaveRecord">
    <vt:lpwstr>eyJoZGlkIjoiMzEwNTM5NzYwMDRjMzkwZTVkZjY2ODkwMGIxNGU0OTUiLCJ1c2VySWQiOiIxMTg5MzEyNjk4In0=</vt:lpwstr>
  </property>
</Properties>
</file>