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6AD5">
      <w:pPr>
        <w:spacing w:line="560" w:lineRule="exact"/>
        <w:jc w:val="left"/>
        <w:rPr>
          <w:rFonts w:ascii="仿宋_GB2312" w:hAnsi="仿宋" w:eastAsia="仿宋_GB2312" w:cs="黑体"/>
          <w:color w:val="000000"/>
          <w:sz w:val="32"/>
          <w:szCs w:val="32"/>
        </w:rPr>
      </w:pPr>
      <w:bookmarkStart w:id="0" w:name="OLE_LINK166"/>
      <w:bookmarkStart w:id="1" w:name="OLE_LINK167"/>
      <w:bookmarkStart w:id="2" w:name="OLE_LINK5"/>
      <w:bookmarkStart w:id="3" w:name="OLE_LINK6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附件2：</w:t>
      </w:r>
    </w:p>
    <w:p w14:paraId="6CFC2696">
      <w:pPr>
        <w:spacing w:line="560" w:lineRule="exact"/>
        <w:jc w:val="center"/>
        <w:rPr>
          <w:rFonts w:ascii="方正小标宋简体" w:hAnsi="黑体" w:eastAsia="方正小标宋简体" w:cs="黑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color w:val="000000"/>
          <w:sz w:val="36"/>
          <w:szCs w:val="36"/>
        </w:rPr>
        <w:t>关于</w:t>
      </w:r>
      <w:bookmarkStart w:id="4" w:name="OLE_LINK96"/>
      <w:bookmarkStart w:id="5" w:name="OLE_LINK95"/>
      <w:r>
        <w:rPr>
          <w:rFonts w:hint="eastAsia" w:ascii="方正小标宋简体" w:hAnsi="黑体" w:eastAsia="方正小标宋简体" w:cs="黑体"/>
          <w:b/>
          <w:color w:val="000000"/>
          <w:sz w:val="36"/>
          <w:szCs w:val="36"/>
        </w:rPr>
        <w:t>定向招录（大学生军人除外）</w:t>
      </w:r>
      <w:bookmarkEnd w:id="4"/>
      <w:bookmarkEnd w:id="5"/>
      <w:r>
        <w:rPr>
          <w:rFonts w:hint="eastAsia" w:ascii="方正小标宋简体" w:hAnsi="黑体" w:eastAsia="方正小标宋简体" w:cs="黑体"/>
          <w:b/>
          <w:color w:val="000000"/>
          <w:sz w:val="36"/>
          <w:szCs w:val="36"/>
        </w:rPr>
        <w:t>岗位</w:t>
      </w:r>
      <w:bookmarkStart w:id="6" w:name="OLE_LINK164"/>
      <w:bookmarkStart w:id="7" w:name="OLE_LINK165"/>
      <w:r>
        <w:rPr>
          <w:rFonts w:hint="eastAsia" w:ascii="方正小标宋简体" w:hAnsi="黑体" w:eastAsia="方正小标宋简体" w:cs="黑体"/>
          <w:b/>
          <w:color w:val="000000"/>
          <w:sz w:val="36"/>
          <w:szCs w:val="36"/>
        </w:rPr>
        <w:t>招聘事项</w:t>
      </w:r>
      <w:bookmarkEnd w:id="6"/>
      <w:bookmarkEnd w:id="7"/>
      <w:r>
        <w:rPr>
          <w:rFonts w:hint="eastAsia" w:ascii="方正小标宋简体" w:hAnsi="黑体" w:eastAsia="方正小标宋简体" w:cs="黑体"/>
          <w:b/>
          <w:color w:val="000000"/>
          <w:sz w:val="36"/>
          <w:szCs w:val="36"/>
        </w:rPr>
        <w:t>的说明</w:t>
      </w:r>
    </w:p>
    <w:bookmarkEnd w:id="0"/>
    <w:bookmarkEnd w:id="1"/>
    <w:p w14:paraId="78F39072">
      <w:pPr>
        <w:spacing w:line="560" w:lineRule="exact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1.本说明仅适用于《2025年富阳区属国企公开</w:t>
      </w:r>
      <w:bookmarkStart w:id="8" w:name="OLE_LINK82"/>
      <w:bookmarkStart w:id="9" w:name="OLE_LINK81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招聘</w:t>
      </w:r>
      <w:bookmarkEnd w:id="8"/>
      <w:bookmarkEnd w:id="9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工作人员计划表》之序号19、序号20 的</w:t>
      </w:r>
      <w:bookmarkStart w:id="10" w:name="OLE_LINK77"/>
      <w:bookmarkStart w:id="11" w:name="OLE_LINK78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定向招录岗位</w:t>
      </w:r>
      <w:bookmarkEnd w:id="10"/>
      <w:bookmarkEnd w:id="11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招聘事项。公告与本说明不一致的，以本说明为准。</w:t>
      </w:r>
    </w:p>
    <w:p w14:paraId="3938A337">
      <w:pPr>
        <w:spacing w:line="560" w:lineRule="exact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2.本说明未载明的，适用公告的普通规定。</w:t>
      </w:r>
    </w:p>
    <w:p w14:paraId="063F4C1F">
      <w:pPr>
        <w:spacing w:line="560" w:lineRule="exact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3.</w:t>
      </w:r>
      <w:bookmarkStart w:id="12" w:name="OLE_LINK104"/>
      <w:bookmarkStart w:id="13" w:name="OLE_LINK105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“初试”</w:t>
      </w:r>
      <w:bookmarkEnd w:id="12"/>
      <w:bookmarkEnd w:id="13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。岗位报考比超过1：10的，按</w:t>
      </w:r>
      <w:bookmarkStart w:id="14" w:name="OLE_LINK101"/>
      <w:bookmarkStart w:id="15" w:name="OLE_LINK150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基本分</w:t>
      </w:r>
      <w:bookmarkEnd w:id="14"/>
      <w:bookmarkEnd w:id="15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从高到低按1：10</w:t>
      </w:r>
      <w:bookmarkStart w:id="16" w:name="OLE_LINK198"/>
      <w:bookmarkStart w:id="17" w:name="OLE_LINK197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比例</w:t>
      </w:r>
      <w:bookmarkEnd w:id="16"/>
      <w:bookmarkEnd w:id="17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进入下一环节。</w:t>
      </w:r>
      <w:bookmarkStart w:id="18" w:name="OLE_LINK201"/>
      <w:bookmarkStart w:id="19" w:name="OLE_LINK152"/>
      <w:bookmarkStart w:id="20" w:name="OLE_LINK151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如比例内末位应聘人员出现分数相同，则同时确定为下一环节入围人选。</w:t>
      </w:r>
      <w:bookmarkEnd w:id="18"/>
    </w:p>
    <w:p w14:paraId="4A181F13">
      <w:pPr>
        <w:spacing w:line="560" w:lineRule="exact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bookmarkStart w:id="21" w:name="OLE_LINK155"/>
      <w:bookmarkStart w:id="22" w:name="OLE_LINK156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基本分</w:t>
      </w:r>
      <w:bookmarkEnd w:id="19"/>
      <w:bookmarkEnd w:id="20"/>
      <w:bookmarkEnd w:id="21"/>
      <w:bookmarkEnd w:id="22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后续将折算计入成绩。</w:t>
      </w:r>
    </w:p>
    <w:p w14:paraId="7BD81074">
      <w:pPr>
        <w:spacing w:line="560" w:lineRule="exact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3.“笔试”。根据</w:t>
      </w:r>
      <w:bookmarkStart w:id="23" w:name="OLE_LINK141"/>
      <w:bookmarkStart w:id="24" w:name="OLE_LINK142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报考人员</w:t>
      </w:r>
      <w:bookmarkStart w:id="25" w:name="OLE_LINK159"/>
      <w:bookmarkStart w:id="26" w:name="OLE_LINK158"/>
      <w:bookmarkStart w:id="27" w:name="OLE_LINK172"/>
      <w:bookmarkStart w:id="28" w:name="OLE_LINK171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基本分</w:t>
      </w:r>
      <w:bookmarkEnd w:id="25"/>
      <w:bookmarkEnd w:id="26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（</w:t>
      </w:r>
      <w:bookmarkStart w:id="29" w:name="OLE_LINK137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按50%占比</w:t>
      </w:r>
      <w:bookmarkStart w:id="30" w:name="OLE_LINK154"/>
      <w:bookmarkStart w:id="31" w:name="OLE_LINK153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折算</w:t>
      </w:r>
      <w:bookmarkEnd w:id="29"/>
      <w:bookmarkEnd w:id="30"/>
      <w:bookmarkEnd w:id="31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）加</w:t>
      </w:r>
      <w:bookmarkStart w:id="32" w:name="OLE_LINK157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笔试成绩</w:t>
      </w:r>
      <w:bookmarkEnd w:id="32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（按20%占比折算）</w:t>
      </w:r>
      <w:bookmarkEnd w:id="27"/>
      <w:bookmarkEnd w:id="28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计算</w:t>
      </w:r>
      <w:bookmarkEnd w:id="23"/>
      <w:bookmarkEnd w:id="24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加权后的</w:t>
      </w:r>
      <w:bookmarkStart w:id="33" w:name="OLE_LINK185"/>
      <w:bookmarkStart w:id="34" w:name="OLE_LINK186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阶段性综合成绩</w:t>
      </w:r>
      <w:bookmarkEnd w:id="33"/>
      <w:bookmarkEnd w:id="34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，从高到低按岗位招聘人数按1：3比例进入面试。如比例内末位应聘人员出现分数相同，则同时确定为下一环节入围人选。</w:t>
      </w:r>
    </w:p>
    <w:p w14:paraId="5351A28E">
      <w:pPr>
        <w:spacing w:line="560" w:lineRule="exact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4.“面试”。根据报考人员基本分（按50%占比折算）、</w:t>
      </w:r>
      <w:bookmarkStart w:id="35" w:name="OLE_LINK144"/>
      <w:bookmarkStart w:id="36" w:name="OLE_LINK143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笔试成绩（按20%占比折算）</w:t>
      </w:r>
      <w:bookmarkEnd w:id="35"/>
      <w:bookmarkEnd w:id="36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和面试成绩（按30%占比折算）计算</w:t>
      </w:r>
      <w:bookmarkStart w:id="37" w:name="OLE_LINK146"/>
      <w:bookmarkStart w:id="38" w:name="OLE_LINK147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加权后</w:t>
      </w:r>
      <w:bookmarkEnd w:id="37"/>
      <w:bookmarkEnd w:id="38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的</w:t>
      </w:r>
      <w:bookmarkStart w:id="39" w:name="OLE_LINK145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总成绩</w:t>
      </w:r>
      <w:bookmarkEnd w:id="39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，从高到低按招聘计划的1:1比例确定体检、考察对象。</w:t>
      </w:r>
    </w:p>
    <w:p w14:paraId="4B250AD8">
      <w:pPr>
        <w:spacing w:line="560" w:lineRule="exact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5.遇到总</w:t>
      </w:r>
      <w:r>
        <w:rPr>
          <w:rFonts w:hint="eastAsia" w:ascii="仿宋_GB2312" w:hAnsi="仿宋" w:eastAsia="仿宋_GB2312" w:cs="黑体"/>
          <w:color w:val="000000"/>
          <w:kern w:val="0"/>
          <w:sz w:val="32"/>
          <w:szCs w:val="32"/>
        </w:rPr>
        <w:t>成绩</w:t>
      </w:r>
      <w:r>
        <w:rPr>
          <w:rFonts w:hint="eastAsia" w:ascii="仿宋_GB2312" w:hAnsi="仿宋" w:eastAsia="仿宋_GB2312" w:cs="黑体"/>
          <w:color w:val="000000"/>
          <w:sz w:val="32"/>
          <w:szCs w:val="32"/>
        </w:rPr>
        <w:t>相同的，按下面分项孰高先后排序：</w:t>
      </w:r>
      <w:bookmarkStart w:id="40" w:name="OLE_LINK163"/>
      <w:bookmarkStart w:id="41" w:name="OLE_LINK162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基本分、面试得分、笔试得分</w:t>
      </w:r>
      <w:bookmarkEnd w:id="40"/>
      <w:bookmarkEnd w:id="41"/>
      <w:r>
        <w:rPr>
          <w:rFonts w:hint="eastAsia" w:ascii="仿宋_GB2312" w:hAnsi="仿宋" w:eastAsia="仿宋_GB2312" w:cs="黑体"/>
          <w:color w:val="000000"/>
          <w:sz w:val="32"/>
          <w:szCs w:val="32"/>
        </w:rPr>
        <w:t>。</w:t>
      </w:r>
    </w:p>
    <w:p w14:paraId="37C69DCA">
      <w:pPr>
        <w:spacing w:line="560" w:lineRule="exact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若基本分、面试得分、笔试得分都相同，则再加面试一轮。</w:t>
      </w:r>
    </w:p>
    <w:p w14:paraId="06C0436C"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  <w:lang w:bidi="mn-Mong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  <w:lang w:bidi="mn-Mong-CN"/>
        </w:rPr>
        <w:br w:type="page"/>
      </w:r>
    </w:p>
    <w:tbl>
      <w:tblPr>
        <w:tblStyle w:val="2"/>
        <w:tblW w:w="9482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34"/>
        <w:gridCol w:w="4678"/>
        <w:gridCol w:w="1117"/>
        <w:gridCol w:w="993"/>
      </w:tblGrid>
      <w:tr w14:paraId="3B954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73D8E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0"/>
                <w:szCs w:val="30"/>
                <w:lang w:bidi="mn-Mong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0"/>
                <w:szCs w:val="30"/>
                <w:lang w:bidi="mn-Mong-CN"/>
              </w:rPr>
              <w:t>2025年区属国企</w:t>
            </w:r>
            <w:bookmarkStart w:id="42" w:name="OLE_LINK176"/>
            <w:bookmarkStart w:id="43" w:name="OLE_LINK177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0"/>
                <w:szCs w:val="30"/>
                <w:lang w:bidi="mn-Mong-CN"/>
              </w:rPr>
              <w:t>定向招录人员</w:t>
            </w:r>
            <w:bookmarkStart w:id="44" w:name="OLE_LINK72"/>
            <w:bookmarkStart w:id="45" w:name="OLE_LINK88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0"/>
                <w:szCs w:val="30"/>
                <w:lang w:bidi="mn-Mong-CN"/>
              </w:rPr>
              <w:t>基本分</w:t>
            </w:r>
            <w:bookmarkEnd w:id="42"/>
            <w:bookmarkEnd w:id="43"/>
            <w:bookmarkEnd w:id="44"/>
            <w:bookmarkEnd w:id="45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0"/>
                <w:szCs w:val="30"/>
                <w:lang w:bidi="mn-Mong-CN"/>
              </w:rPr>
              <w:t>评分表</w:t>
            </w:r>
          </w:p>
        </w:tc>
      </w:tr>
      <w:tr w14:paraId="2B9B5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8DEC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集团名称：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6C3DF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mn-Mong-CN"/>
              </w:rPr>
            </w:pPr>
          </w:p>
        </w:tc>
      </w:tr>
      <w:tr w14:paraId="5B6C1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841B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 xml:space="preserve">姓名：                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6AA0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工作单位：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FF22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E0D4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mn-Mong-CN"/>
              </w:rPr>
            </w:pPr>
          </w:p>
        </w:tc>
      </w:tr>
      <w:tr w14:paraId="1997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63B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  <w:t>序号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2F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  <w:t>项目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59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  <w:t>评分标准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2A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  <w:t>满分分值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3C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  <w:t>得分</w:t>
            </w:r>
          </w:p>
        </w:tc>
      </w:tr>
      <w:tr w14:paraId="49F60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3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4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bookmarkStart w:id="46" w:name="OLE_LINK97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工作年限</w:t>
            </w:r>
            <w:bookmarkEnd w:id="46"/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4C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在区属国企工作每满一年得2分，最高20分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B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1B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　</w:t>
            </w:r>
          </w:p>
        </w:tc>
      </w:tr>
      <w:tr w14:paraId="7BE84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E09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F11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bookmarkStart w:id="47" w:name="OLE_LINK98"/>
            <w:bookmarkStart w:id="48" w:name="OLE_LINK99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年度考核</w:t>
            </w:r>
            <w:bookmarkEnd w:id="47"/>
            <w:bookmarkEnd w:id="48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C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近五年年度考核，一次优秀计5分、一次合格计3分，最高25分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4C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E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　</w:t>
            </w:r>
          </w:p>
        </w:tc>
      </w:tr>
      <w:tr w14:paraId="12B5E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B8D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bookmarkStart w:id="49" w:name="_Hlk207747269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C9C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学历学位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2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本科5分，本科及学士学位10分，硕士研究生及以上学历且硕士及以上学位15分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F1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59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　</w:t>
            </w:r>
          </w:p>
        </w:tc>
      </w:tr>
      <w:tr w14:paraId="6963C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E7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4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C0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专业（业务）职称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686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中级职称5分，高级职称10分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F4D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3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　</w:t>
            </w:r>
          </w:p>
        </w:tc>
      </w:tr>
      <w:tr w14:paraId="00646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AFC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8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单位民主测评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B3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集团内</w:t>
            </w:r>
            <w:bookmarkStart w:id="50" w:name="OLE_LINK26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民主</w:t>
            </w:r>
            <w:bookmarkEnd w:id="5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测评（评价换算分数：好100分、良好80分、合格60分、不合格0分）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8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B1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　</w:t>
            </w:r>
          </w:p>
        </w:tc>
      </w:tr>
      <w:tr w14:paraId="034A1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2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85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集团班子评价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9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集团第一名最高可评10分，第二名可评9分或以下（差距不小于1分），以此类推。某一名次评为零分后，其后名次均以零分计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DE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39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mn-Mong-CN"/>
              </w:rPr>
              <w:t>　</w:t>
            </w:r>
          </w:p>
        </w:tc>
      </w:tr>
      <w:bookmarkEnd w:id="49"/>
      <w:tr w14:paraId="4E2BD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93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  <w:t>总分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E0B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  <w:t>/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08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C79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mn-Mong-CN"/>
              </w:rPr>
              <w:t>　</w:t>
            </w:r>
          </w:p>
        </w:tc>
      </w:tr>
    </w:tbl>
    <w:p w14:paraId="2078C25A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7FA4527B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0534E386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5435C135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7A3D5A73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69BA2D44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7270CA99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bookmarkEnd w:id="2"/>
    <w:bookmarkEnd w:id="3"/>
    <w:p w14:paraId="74FDA4AE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72E2C"/>
    <w:rsid w:val="02F349F2"/>
    <w:rsid w:val="4BB72E2C"/>
    <w:rsid w:val="4F6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727</Words>
  <Characters>773</Characters>
  <Lines>0</Lines>
  <Paragraphs>0</Paragraphs>
  <TotalTime>0</TotalTime>
  <ScaleCrop>false</ScaleCrop>
  <LinksUpToDate>false</LinksUpToDate>
  <CharactersWithSpaces>815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2025-09-22T10:03:00Z</dcterms:created>
  <dc:creator></dc:creator>
  <cp:lastModifiedBy></cp:lastModifiedBy>
  <dcterms:modified xsi:type="dcterms:W3CDTF">2025-09-22T10:40:48Z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EF05C59202034D9DB0758A9DEC5CE594_11</vt:lpwstr>
  </property>
  <property fmtid="{D5CDD505-2E9C-101B-9397-08002B2CF9AE}" pid="4" name="KSOTemplateDocerSaveRecord">
    <vt:lpwstr>eyJoZGlkIjoiNmUxOTAyMGJiZjQ4NDUwOWU3M2FmM2UyMWE3NmI2ZGQiLCJ1c2VySWQiOiIzMDA5NDY2OTMifQ==</vt:lpwstr>
  </property>
</Properties>
</file>