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F5AA">
      <w:pPr>
        <w:spacing w:line="500" w:lineRule="exact"/>
        <w:rPr>
          <w:rFonts w:hint="eastAsia" w:ascii="黑体" w:hAnsi="黑体" w:eastAsia="黑体" w:cs="黑体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附件1</w:t>
      </w:r>
    </w:p>
    <w:p w14:paraId="740FEFE0">
      <w:pPr>
        <w:pStyle w:val="2"/>
      </w:pPr>
    </w:p>
    <w:p w14:paraId="1276B6D0"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招聘单位基本情况</w:t>
      </w:r>
    </w:p>
    <w:p w14:paraId="64F6A949">
      <w:pPr>
        <w:pStyle w:val="2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12"/>
        <w:gridCol w:w="1365"/>
        <w:gridCol w:w="3495"/>
        <w:gridCol w:w="6842"/>
      </w:tblGrid>
      <w:tr w14:paraId="1224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312" w:type="dxa"/>
            <w:vAlign w:val="center"/>
          </w:tcPr>
          <w:p w14:paraId="54EB5178"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</w:rPr>
              <w:t>单位名称</w:t>
            </w:r>
          </w:p>
        </w:tc>
        <w:tc>
          <w:tcPr>
            <w:tcW w:w="1365" w:type="dxa"/>
            <w:vAlign w:val="center"/>
          </w:tcPr>
          <w:p w14:paraId="521BD2FB"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</w:rPr>
              <w:t>单位类别</w:t>
            </w:r>
          </w:p>
        </w:tc>
        <w:tc>
          <w:tcPr>
            <w:tcW w:w="3495" w:type="dxa"/>
            <w:vAlign w:val="center"/>
          </w:tcPr>
          <w:p w14:paraId="42E971A3"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</w:rPr>
              <w:t>单位地址</w:t>
            </w:r>
          </w:p>
        </w:tc>
        <w:tc>
          <w:tcPr>
            <w:tcW w:w="6842" w:type="dxa"/>
            <w:vAlign w:val="center"/>
          </w:tcPr>
          <w:p w14:paraId="23C96385"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</w:rPr>
              <w:t>主要职能</w:t>
            </w:r>
          </w:p>
        </w:tc>
      </w:tr>
      <w:tr w14:paraId="45B6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7E66BC65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成都市文物考古研究院</w:t>
            </w:r>
          </w:p>
        </w:tc>
        <w:tc>
          <w:tcPr>
            <w:tcW w:w="1365" w:type="dxa"/>
            <w:vAlign w:val="center"/>
          </w:tcPr>
          <w:p w14:paraId="7041434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公益二类</w:t>
            </w:r>
          </w:p>
        </w:tc>
        <w:tc>
          <w:tcPr>
            <w:tcW w:w="3495" w:type="dxa"/>
            <w:vAlign w:val="center"/>
          </w:tcPr>
          <w:p w14:paraId="69E72BD5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成都市青羊区青华路15号</w:t>
            </w:r>
          </w:p>
        </w:tc>
        <w:tc>
          <w:tcPr>
            <w:tcW w:w="6842" w:type="dxa"/>
            <w:vAlign w:val="center"/>
          </w:tcPr>
          <w:p w14:paraId="629AF205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 主要负责成都市文物考古调查、勘探、发掘、文物保护、保管、宣传、公共教育、科学研究工作，承担大遗址成都片区有关遗址的发掘、研究、保护工作，提供文创服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务；管理成都十二桥遗址博物馆、成都船棺遗址博物馆；依法开展与主业相关的文物保护研究、古建筑修缮设计及施工监理等工作。</w:t>
            </w:r>
          </w:p>
        </w:tc>
      </w:tr>
      <w:tr w14:paraId="2AE7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5EE0CF9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成都金沙遗址博物馆</w:t>
            </w:r>
          </w:p>
        </w:tc>
        <w:tc>
          <w:tcPr>
            <w:tcW w:w="1365" w:type="dxa"/>
            <w:vAlign w:val="center"/>
          </w:tcPr>
          <w:p w14:paraId="1AFE058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公益二类</w:t>
            </w:r>
          </w:p>
        </w:tc>
        <w:tc>
          <w:tcPr>
            <w:tcW w:w="3495" w:type="dxa"/>
            <w:vAlign w:val="center"/>
          </w:tcPr>
          <w:p w14:paraId="0DF50F6F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成都市青羊区金沙遗址路2号</w:t>
            </w:r>
          </w:p>
        </w:tc>
        <w:tc>
          <w:tcPr>
            <w:tcW w:w="6842" w:type="dxa"/>
            <w:vAlign w:val="center"/>
          </w:tcPr>
          <w:p w14:paraId="37FC3B75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主要负责成都金沙遗址博物馆发展规划的具体实施工作，承担金沙遗址文物及藏品的研究、保护、修缮、展示工作并与国内外文博科研单位开展交流与合作，以展示成都悠久历史和建城史起源，传播考古和文物知识，实现文化遗产价值最大程度的传播与共享。</w:t>
            </w:r>
          </w:p>
        </w:tc>
      </w:tr>
      <w:tr w14:paraId="5ACF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5FBFB6A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成都杜甫草堂博物馆</w:t>
            </w:r>
          </w:p>
        </w:tc>
        <w:tc>
          <w:tcPr>
            <w:tcW w:w="1365" w:type="dxa"/>
            <w:vAlign w:val="center"/>
          </w:tcPr>
          <w:p w14:paraId="7CD9D8A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公益二类</w:t>
            </w:r>
          </w:p>
        </w:tc>
        <w:tc>
          <w:tcPr>
            <w:tcW w:w="3495" w:type="dxa"/>
            <w:vAlign w:val="center"/>
          </w:tcPr>
          <w:p w14:paraId="39869B66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成都市青羊区浣花南路108号</w:t>
            </w:r>
          </w:p>
        </w:tc>
        <w:tc>
          <w:tcPr>
            <w:tcW w:w="6842" w:type="dxa"/>
            <w:vAlign w:val="center"/>
          </w:tcPr>
          <w:p w14:paraId="0CC2A18D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主要负责杜甫草堂文物收藏、保护、研究、展陈、宣传工作，提供旅游及文创服务；开展以杜甫诗歌为主的中国古典诗词文化的研究、交流及传承工作；开展中国书法、绘画艺术品的收藏、研究、交流；承担“非遗节”中国书法艺术的展览交流活动。</w:t>
            </w:r>
          </w:p>
        </w:tc>
      </w:tr>
      <w:tr w14:paraId="5279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0A2DB44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成都武侯祠博物馆</w:t>
            </w:r>
          </w:p>
        </w:tc>
        <w:tc>
          <w:tcPr>
            <w:tcW w:w="1365" w:type="dxa"/>
            <w:vAlign w:val="center"/>
          </w:tcPr>
          <w:p w14:paraId="172CC1D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公益二类</w:t>
            </w:r>
          </w:p>
        </w:tc>
        <w:tc>
          <w:tcPr>
            <w:tcW w:w="3495" w:type="dxa"/>
            <w:vAlign w:val="center"/>
          </w:tcPr>
          <w:p w14:paraId="23C9DBBE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成都武侯祠大街231号</w:t>
            </w:r>
          </w:p>
        </w:tc>
        <w:tc>
          <w:tcPr>
            <w:tcW w:w="6842" w:type="dxa"/>
            <w:vAlign w:val="center"/>
          </w:tcPr>
          <w:p w14:paraId="3B8233C5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主要负责承担成都武侯祠博物馆文物收藏、保护、三国研究资料收集、陈列展览、社会教育、宣传营销、文创开发、智慧博物馆建设及公共文化服务工作。组织开展三国文化、遗存调查研究工作、推进三国文化遗存保护、利用及三国文化的宣传、推广工作。</w:t>
            </w:r>
          </w:p>
        </w:tc>
      </w:tr>
      <w:tr w14:paraId="07BA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0A396B97">
            <w:pPr>
              <w:spacing w:line="360" w:lineRule="exact"/>
              <w:ind w:firstLine="440" w:firstLineChars="200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成都自然博物馆（成都理工大博物馆）</w:t>
            </w:r>
          </w:p>
        </w:tc>
        <w:tc>
          <w:tcPr>
            <w:tcW w:w="1365" w:type="dxa"/>
            <w:vAlign w:val="center"/>
          </w:tcPr>
          <w:p w14:paraId="68A0A94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公益二类</w:t>
            </w:r>
          </w:p>
        </w:tc>
        <w:tc>
          <w:tcPr>
            <w:tcW w:w="3495" w:type="dxa"/>
            <w:vAlign w:val="center"/>
          </w:tcPr>
          <w:p w14:paraId="47244E74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成都市成华区十里店路88号</w:t>
            </w:r>
          </w:p>
        </w:tc>
        <w:tc>
          <w:tcPr>
            <w:tcW w:w="6842" w:type="dxa"/>
            <w:vAlign w:val="center"/>
          </w:tcPr>
          <w:p w14:paraId="6CD98EA8">
            <w:pPr>
              <w:spacing w:line="36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主要负责承担博物馆藏品的征集、研究、保护、展示、科普教育及公共文化服务工作，与国内外文博科研单位开展交流合作，举办各类展览，开展社会教育、科研培训、文创产业等活动。</w:t>
            </w:r>
          </w:p>
        </w:tc>
      </w:tr>
    </w:tbl>
    <w:p w14:paraId="4E2F99DB">
      <w:pPr>
        <w:pStyle w:val="2"/>
        <w:spacing w:line="360" w:lineRule="exact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477BBB21">
      <w:pPr>
        <w:pStyle w:val="2"/>
        <w:spacing w:line="360" w:lineRule="exact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3520BD8E">
      <w:pPr>
        <w:pStyle w:val="2"/>
        <w:spacing w:line="360" w:lineRule="exact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063D3361">
      <w:pPr>
        <w:pStyle w:val="2"/>
        <w:spacing w:line="360" w:lineRule="exact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6B4C8F63">
      <w:pPr>
        <w:pStyle w:val="2"/>
        <w:spacing w:line="360" w:lineRule="exact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17ECE2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630E31"/>
    <w:rsid w:val="003A799E"/>
    <w:rsid w:val="00411AC4"/>
    <w:rsid w:val="0051214C"/>
    <w:rsid w:val="00677D70"/>
    <w:rsid w:val="18630E31"/>
    <w:rsid w:val="213A284E"/>
    <w:rsid w:val="29884301"/>
    <w:rsid w:val="2FE07A00"/>
    <w:rsid w:val="53E85F14"/>
    <w:rsid w:val="56AF5A31"/>
    <w:rsid w:val="72C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Title"/>
    <w:basedOn w:val="1"/>
    <w:next w:val="1"/>
    <w:link w:val="6"/>
    <w:qFormat/>
    <w:uiPriority w:val="0"/>
    <w:pPr>
      <w:snapToGrid w:val="0"/>
    </w:pPr>
    <w:rPr>
      <w:rFonts w:eastAsia="方正小标宋_GBK"/>
      <w:sz w:val="44"/>
    </w:rPr>
  </w:style>
  <w:style w:type="character" w:customStyle="1" w:styleId="6">
    <w:name w:val="标题 字符"/>
    <w:link w:val="3"/>
    <w:qFormat/>
    <w:uiPriority w:val="10"/>
    <w:rPr>
      <w:rFonts w:ascii="Times New Roman" w:hAnsi="Times New Roman" w:eastAsia="方正小标宋_GBK" w:cstheme="minorBidi"/>
      <w:kern w:val="2"/>
      <w:sz w:val="44"/>
      <w:szCs w:val="3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713</Characters>
  <Lines>5</Lines>
  <Paragraphs>1</Paragraphs>
  <TotalTime>0</TotalTime>
  <ScaleCrop>false</ScaleCrop>
  <LinksUpToDate>false</LinksUpToDate>
  <CharactersWithSpaces>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2025-09-08T08:14:00Z</dcterms:created>
  <dc:creator>Athos1403060590</dc:creator>
  <cp:lastModifiedBy>Athos1403060590</cp:lastModifiedBy>
  <dcterms:modified xsi:type="dcterms:W3CDTF">2025-09-16T05:40:00Z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48CC27128F32418E976FE6E9DC986EB8_13</vt:lpwstr>
  </property>
  <property fmtid="{D5CDD505-2E9C-101B-9397-08002B2CF9AE}" pid="4" name="KSOTemplateDocerSaveRecord">
    <vt:lpwstr>eyJoZGlkIjoiODA2OTVmNmQ0Y2ZiZWNlMzdmMmFhZDQyYzQxOTg4ZjYiLCJ1c2VySWQiOiIxNzI0NDE3NSJ9</vt:lpwstr>
  </property>
</Properties>
</file>