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
          <w:sz w:val="32"/>
          <w:szCs w:val="32"/>
        </w:rPr>
      </w:pPr>
      <w:r>
        <w:rPr>
          <w:rFonts w:hint="eastAsia" w:ascii="黑体" w:hAnsi="黑体" w:eastAsia="黑体" w:cs="仿宋"/>
          <w:sz w:val="32"/>
          <w:szCs w:val="32"/>
        </w:rPr>
        <w:t>附件3</w:t>
      </w:r>
    </w:p>
    <w:p>
      <w:pPr>
        <w:jc w:val="center"/>
        <w:rPr>
          <w:rFonts w:hint="eastAsia" w:ascii="方正小标宋简体" w:hAnsi="仿宋" w:eastAsia="方正小标宋简体" w:cs="仿宋"/>
          <w:sz w:val="36"/>
          <w:szCs w:val="36"/>
        </w:rPr>
      </w:pPr>
      <w:bookmarkStart w:id="2" w:name="_GoBack"/>
      <w:r>
        <w:rPr>
          <w:rFonts w:hint="eastAsia" w:ascii="方正小标宋简体" w:hAnsi="仿宋" w:eastAsia="方正小标宋简体" w:cs="仿宋"/>
          <w:sz w:val="36"/>
          <w:szCs w:val="36"/>
        </w:rPr>
        <w:t>广西工商职业技术学院2025年高层次管理人才招聘岗位信息表</w:t>
      </w:r>
    </w:p>
    <w:bookmarkEnd w:id="2"/>
    <w:tbl>
      <w:tblPr>
        <w:tblStyle w:val="2"/>
        <w:tblW w:w="14610" w:type="dxa"/>
        <w:tblInd w:w="-769" w:type="dxa"/>
        <w:tblLayout w:type="autofit"/>
        <w:tblCellMar>
          <w:top w:w="0" w:type="dxa"/>
          <w:left w:w="108" w:type="dxa"/>
          <w:bottom w:w="0" w:type="dxa"/>
          <w:right w:w="108" w:type="dxa"/>
        </w:tblCellMar>
      </w:tblPr>
      <w:tblGrid>
        <w:gridCol w:w="885"/>
        <w:gridCol w:w="1275"/>
        <w:gridCol w:w="735"/>
        <w:gridCol w:w="1140"/>
        <w:gridCol w:w="1230"/>
        <w:gridCol w:w="1020"/>
        <w:gridCol w:w="1410"/>
        <w:gridCol w:w="2745"/>
        <w:gridCol w:w="705"/>
        <w:gridCol w:w="3465"/>
      </w:tblGrid>
      <w:tr>
        <w:tblPrEx>
          <w:tblCellMar>
            <w:top w:w="0" w:type="dxa"/>
            <w:left w:w="108" w:type="dxa"/>
            <w:bottom w:w="0" w:type="dxa"/>
            <w:right w:w="108" w:type="dxa"/>
          </w:tblCellMar>
        </w:tblPrEx>
        <w:trPr>
          <w:trHeight w:val="855"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岗位序号</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岗位</w:t>
            </w:r>
            <w:r>
              <w:rPr>
                <w:rFonts w:hint="eastAsia" w:ascii="仿宋" w:hAnsi="仿宋" w:eastAsia="仿宋" w:cs="仿宋"/>
                <w:b/>
                <w:bCs/>
                <w:color w:val="000000"/>
                <w:kern w:val="0"/>
                <w:sz w:val="24"/>
                <w:lang w:bidi="ar"/>
              </w:rPr>
              <w:br w:type="textWrapping"/>
            </w:r>
            <w:r>
              <w:rPr>
                <w:rFonts w:hint="eastAsia" w:ascii="仿宋" w:hAnsi="仿宋" w:eastAsia="仿宋" w:cs="仿宋"/>
                <w:b/>
                <w:bCs/>
                <w:color w:val="000000"/>
                <w:kern w:val="0"/>
                <w:sz w:val="24"/>
                <w:lang w:bidi="ar"/>
              </w:rPr>
              <w:t>名称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招聘</w:t>
            </w:r>
            <w:r>
              <w:rPr>
                <w:rFonts w:hint="eastAsia" w:ascii="仿宋" w:hAnsi="仿宋" w:eastAsia="仿宋" w:cs="仿宋"/>
                <w:b/>
                <w:bCs/>
                <w:color w:val="000000"/>
                <w:kern w:val="0"/>
                <w:sz w:val="24"/>
                <w:lang w:bidi="ar"/>
              </w:rPr>
              <w:br w:type="textWrapping"/>
            </w:r>
            <w:r>
              <w:rPr>
                <w:rFonts w:hint="eastAsia" w:ascii="仿宋" w:hAnsi="仿宋" w:eastAsia="仿宋" w:cs="仿宋"/>
                <w:b/>
                <w:bCs/>
                <w:color w:val="000000"/>
                <w:kern w:val="0"/>
                <w:sz w:val="24"/>
                <w:lang w:bidi="ar"/>
              </w:rPr>
              <w:t>人数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专业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学历学位</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年龄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职称或职业资格</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其他条件</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考试方式</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待遇</w:t>
            </w:r>
          </w:p>
        </w:tc>
      </w:tr>
      <w:tr>
        <w:tblPrEx>
          <w:tblCellMar>
            <w:top w:w="0" w:type="dxa"/>
            <w:left w:w="108" w:type="dxa"/>
            <w:bottom w:w="0" w:type="dxa"/>
            <w:right w:w="108" w:type="dxa"/>
          </w:tblCellMar>
        </w:tblPrEx>
        <w:trPr>
          <w:trHeight w:val="2505"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bookmarkStart w:id="0" w:name="_Hlk204714895"/>
            <w:r>
              <w:rPr>
                <w:rFonts w:hint="eastAsia" w:ascii="仿宋" w:hAnsi="仿宋" w:eastAsia="仿宋" w:cs="仿宋"/>
                <w:color w:val="000000"/>
                <w:kern w:val="0"/>
                <w:sz w:val="22"/>
                <w:szCs w:val="22"/>
                <w:lang w:bidi="ar"/>
              </w:rPr>
              <w:t>粮油与管理学院学术院长</w:t>
            </w:r>
            <w:bookmarkEnd w:id="0"/>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食品科学与工程类</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研究生学历具有硕士学位及以上</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45周岁及以下</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硕士研究生学历要求副高级及以上职称；博士研究生职称不限</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具有</w:t>
            </w:r>
            <w:bookmarkStart w:id="1" w:name="_Hlk204715093"/>
            <w:r>
              <w:rPr>
                <w:rFonts w:hint="eastAsia" w:ascii="仿宋" w:hAnsi="仿宋" w:eastAsia="仿宋" w:cs="仿宋"/>
                <w:color w:val="000000"/>
                <w:kern w:val="0"/>
                <w:sz w:val="22"/>
                <w:szCs w:val="22"/>
                <w:lang w:bidi="ar"/>
              </w:rPr>
              <w:t>3年及以上管理工作经验</w:t>
            </w:r>
            <w:bookmarkEnd w:id="1"/>
            <w:r>
              <w:rPr>
                <w:rFonts w:hint="eastAsia" w:ascii="仿宋" w:hAnsi="仿宋" w:eastAsia="仿宋" w:cs="仿宋"/>
                <w:color w:val="000000"/>
                <w:kern w:val="0"/>
                <w:sz w:val="22"/>
                <w:szCs w:val="22"/>
                <w:lang w:bidi="ar"/>
              </w:rPr>
              <w:t>（在院校任二级学院副院长及以上职务或在企业任部门领导及以上职务）、教学科研业绩突出</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面试</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根据应聘者的学术水平、职责任务等因素，提供20-60万元的年薪，具体待遇面议商谈。</w:t>
            </w:r>
          </w:p>
        </w:tc>
      </w:tr>
      <w:tr>
        <w:tblPrEx>
          <w:tblCellMar>
            <w:top w:w="0" w:type="dxa"/>
            <w:left w:w="108" w:type="dxa"/>
            <w:bottom w:w="0" w:type="dxa"/>
            <w:right w:w="108" w:type="dxa"/>
          </w:tblCellMar>
        </w:tblPrEx>
        <w:trPr>
          <w:trHeight w:val="3015"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2</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人工智能学院学术院长</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计算机科学与技术类</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研究生学历具有硕士学位及以上</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45周岁及以下</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硕士研究生学历要求副高级及以上职称；博士研究生职称不限</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具有3年及以上管理工作经验（在院校任二级学院副院长及以上职务或在企业任部门领导及以上职务）、教学科研业绩突出</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面试</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根据应聘者的学术水平、职责任务等因素，提供20-60万元的年薪，具体待遇面议商谈。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jNiZWI4MzFmNzIxZjQzNDQ4MzU1NjA5NTI0NmYifQ=="/>
  </w:docVars>
  <w:rsids>
    <w:rsidRoot w:val="5EB5644D"/>
    <w:rsid w:val="5EB5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2025-09-15T07:43:00Z</dcterms:created>
  <dc:creator>周雪琴</dc:creator>
  <cp:lastModifiedBy>周雪琴</cp:lastModifiedBy>
  <dcterms:modified xsi:type="dcterms:W3CDTF">2025-09-15T07:43:58Z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04E7C1292592433A8CC71C20BAC491DA_11</vt:lpwstr>
  </property>
</Properties>
</file>