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left"/>
        <w:rPr>
          <w:rFonts w:hint="eastAsia"/>
        </w:rPr>
      </w:pPr>
      <w:r>
        <w:rPr>
          <w:rFonts w:hint="eastAsia"/>
          <w:b w:val="0"/>
          <w:bCs w:val="0"/>
        </w:rPr>
        <w:t>附件1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福建片仔癀健康科技有限公司市场总监薪酬与任期目标约定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51"/>
        <w:gridCol w:w="3822"/>
        <w:gridCol w:w="3705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选聘岗位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招聘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核心职责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薪酬范围和薪酬结构</w:t>
            </w:r>
          </w:p>
        </w:tc>
        <w:tc>
          <w:tcPr>
            <w:tcW w:w="47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任期经营业绩目标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5" w:hRule="atLeast"/>
        </w:trPr>
        <w:tc>
          <w:tcPr>
            <w:tcW w:w="84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市场总监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1.战略规划落地：依公司战略，组织制定年度产品及市场战略并推动落地；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2.营销策略执行：落实年度市场营销策略与计划，统筹各渠道营销方案，打造样板工程并推广；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3.渠道建设：制定主流渠道营销策略，建立并维护数字化营销体系等，探索试点新渠道模式；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4.产品管理：结合对市场需求挖掘、产品价值体系构建，开展产品全生命周期管理和竞争策略优化，进行产品优化和新品打造；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5.市场分析：组织市场研究，分析医药行业动态，制定竞争策略；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6.品牌管理：执行品牌策略和营销活动，稳固品牌市场地位；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7.团队管理：负责市场团队建设、日常管理，完善部门组织架构；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8.其他职责：高效完成上级交办的其他重要工作任务。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1.薪酬范围：年薪60万元/年（税前，不含任期激励），最终金额结合考核情况确定；</w:t>
            </w:r>
          </w:p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2.薪酬结构：</w:t>
            </w:r>
          </w:p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①基础薪酬（40%），按月发放；</w:t>
            </w:r>
          </w:p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②季度绩效（20%），以季度绩效薪酬基数（按年计算）÷12×80%平均分摊到月预发，每季度第二个月核算上个季度的季度绩效薪酬，并按差额多退少补；</w:t>
            </w:r>
          </w:p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③年度绩效薪酬（40%）：年度绩效薪酬在次年第一季度发放，年度绩效薪酬=年度绩效基数×实际年度考核得分÷100；</w:t>
            </w:r>
          </w:p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④每年任期激励为每年年薪的10%。任期激励在任期考核结束后根据任期考核系数核算发放金额，按照40%、30%、30%的比例逐年发放。</w:t>
            </w:r>
          </w:p>
        </w:tc>
        <w:tc>
          <w:tcPr>
            <w:tcW w:w="4726" w:type="dxa"/>
            <w:vAlign w:val="center"/>
          </w:tcPr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1.市场策略：承接公司战略，每年3月底前完成《年度商业计划书》，获得公司总办会审批通过，计划执行率70%以上；</w:t>
            </w:r>
          </w:p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2.渠道建设：根据公司营销渠道策略，3年聘期内完成数字化营销体系建设；</w:t>
            </w:r>
          </w:p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3.新品引进：3年聘期内完成不少于2个产品的引进上市，丰富公司产品线，新品引进第一年达到公司系列品种营收占比3%，年复合增长率不低于15%；</w:t>
            </w:r>
          </w:p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4.年度市场研究报告：每年定期组织市场研究，形成不少于2份行业动态报告，信息准确且无延误，为公司提供决策依据；</w:t>
            </w:r>
          </w:p>
          <w:p>
            <w:pPr>
              <w:widowControl/>
              <w:spacing w:after="0" w:line="320" w:lineRule="exact"/>
              <w:ind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5.明星产品打造：3年聘期内打造1-2个中成药相关类目当中份额前五名的产品；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6.人才梯队建设：规划人才培养路径，制定技术指导方案，并完成关键人才储备；任期到期时，经理级以上关键人才保留率70%以上，同时储备产品经理不少于2名。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2E5MmM5YmY2ZjY5MzQ0MDFjZjcwZTI5OTIxNTcifQ=="/>
  </w:docVars>
  <w:rsids>
    <w:rsidRoot w:val="1E69784A"/>
    <w:rsid w:val="1E6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ind w:firstLine="643"/>
      <w:outlineLvl w:val="0"/>
    </w:pPr>
    <w:rPr>
      <w:rFonts w:ascii="黑体" w:hAnsi="黑体" w:eastAsia="黑体"/>
      <w:b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2025-09-12T08:47:00Z</dcterms:created>
  <dc:creator>林梦婷</dc:creator>
  <cp:lastModifiedBy>林梦婷</cp:lastModifiedBy>
  <dcterms:modified xsi:type="dcterms:W3CDTF">2025-09-12T08:49:45Z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013D7478D7904BA18E508BF3B9ED6156_11</vt:lpwstr>
  </property>
</Properties>
</file>