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71E58">
      <w:pPr>
        <w:keepNext w:val="0"/>
        <w:keepLines w:val="0"/>
        <w:pageBreakBefore w:val="0"/>
        <w:widowControl w:val="0"/>
        <w:kinsoku/>
        <w:wordWrap/>
        <w:overflowPunct/>
        <w:topLinePunct w:val="0"/>
        <w:autoSpaceDE/>
        <w:autoSpaceDN/>
        <w:bidi w:val="0"/>
        <w:adjustRightInd w:val="0"/>
        <w:snapToGrid w:val="0"/>
        <w:spacing w:after="0" w:line="590" w:lineRule="exact"/>
        <w:jc w:val="left"/>
        <w:textAlignment w:val="auto"/>
        <w:rPr>
          <w:rFonts w:hint="eastAsia" w:ascii="Times New Roman" w:hAnsi="Times New Roman" w:eastAsia="方正黑体_GBK" w:cs="Times New Roman"/>
          <w:color w:val="auto"/>
          <w:kern w:val="0"/>
          <w:sz w:val="33"/>
          <w:szCs w:val="33"/>
          <w:lang w:val="en-US" w:eastAsia="zh-CN"/>
        </w:rPr>
      </w:pPr>
      <w:r>
        <w:rPr>
          <w:rFonts w:hint="default" w:ascii="Times New Roman" w:hAnsi="Times New Roman" w:eastAsia="方正黑体_GBK" w:cs="Times New Roman"/>
          <w:color w:val="auto"/>
          <w:kern w:val="0"/>
          <w:sz w:val="33"/>
          <w:szCs w:val="33"/>
        </w:rPr>
        <w:t>附件</w:t>
      </w:r>
      <w:r>
        <w:rPr>
          <w:rFonts w:hint="eastAsia" w:ascii="Times New Roman" w:hAnsi="Times New Roman" w:eastAsia="方正黑体_GBK" w:cs="Times New Roman"/>
          <w:color w:val="auto"/>
          <w:kern w:val="0"/>
          <w:sz w:val="33"/>
          <w:szCs w:val="33"/>
          <w:lang w:val="en-US" w:eastAsia="zh-CN"/>
        </w:rPr>
        <w:t>1</w:t>
      </w:r>
    </w:p>
    <w:p w14:paraId="4A7D1C4C">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kern w:val="0"/>
          <w:sz w:val="36"/>
          <w:szCs w:val="36"/>
        </w:rPr>
        <w:t>岳池县</w:t>
      </w:r>
      <w:r>
        <w:rPr>
          <w:rFonts w:hint="default" w:ascii="Times New Roman" w:hAnsi="Times New Roman" w:eastAsia="方正小标宋_GBK" w:cs="Times New Roman"/>
          <w:color w:val="auto"/>
          <w:kern w:val="0"/>
          <w:sz w:val="36"/>
          <w:szCs w:val="36"/>
          <w:lang w:eastAsia="zh-CN"/>
        </w:rPr>
        <w:t>202</w:t>
      </w:r>
      <w:r>
        <w:rPr>
          <w:rFonts w:hint="eastAsia" w:ascii="Times New Roman" w:hAnsi="Times New Roman" w:eastAsia="方正小标宋_GBK" w:cs="Times New Roman"/>
          <w:color w:val="auto"/>
          <w:kern w:val="0"/>
          <w:sz w:val="36"/>
          <w:szCs w:val="36"/>
          <w:lang w:val="en-US" w:eastAsia="zh-CN"/>
        </w:rPr>
        <w:t>5</w:t>
      </w:r>
      <w:r>
        <w:rPr>
          <w:rFonts w:hint="eastAsia" w:ascii="方正小标宋_GBK" w:hAnsi="方正小标宋_GBK" w:eastAsia="方正小标宋_GBK" w:cs="方正小标宋_GBK"/>
          <w:color w:val="auto"/>
          <w:kern w:val="0"/>
          <w:sz w:val="36"/>
          <w:szCs w:val="36"/>
          <w:lang w:eastAsia="zh-CN"/>
        </w:rPr>
        <w:t>年特岗特聘“国企经理人”</w:t>
      </w:r>
      <w:r>
        <w:rPr>
          <w:rFonts w:hint="eastAsia" w:ascii="方正小标宋_GBK" w:hAnsi="方正小标宋_GBK" w:eastAsia="方正小标宋_GBK" w:cs="方正小标宋_GBK"/>
          <w:color w:val="auto"/>
          <w:kern w:val="0"/>
          <w:sz w:val="36"/>
          <w:szCs w:val="36"/>
        </w:rPr>
        <w:t>职位一览表</w:t>
      </w:r>
    </w:p>
    <w:p w14:paraId="5FE4F044">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方正小标宋_GBK" w:hAnsi="方正小标宋_GBK" w:eastAsia="方正小标宋_GBK" w:cs="方正小标宋_GBK"/>
          <w:color w:val="auto"/>
          <w:kern w:val="0"/>
          <w:sz w:val="36"/>
          <w:szCs w:val="36"/>
        </w:rPr>
      </w:pPr>
    </w:p>
    <w:tbl>
      <w:tblPr>
        <w:tblStyle w:val="3"/>
        <w:tblW w:w="16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1311"/>
        <w:gridCol w:w="1325"/>
        <w:gridCol w:w="1020"/>
        <w:gridCol w:w="475"/>
        <w:gridCol w:w="2229"/>
        <w:gridCol w:w="3040"/>
        <w:gridCol w:w="793"/>
        <w:gridCol w:w="3300"/>
        <w:gridCol w:w="1150"/>
        <w:gridCol w:w="892"/>
      </w:tblGrid>
      <w:tr w14:paraId="7BF1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blHeader/>
          <w:jc w:val="center"/>
        </w:trPr>
        <w:tc>
          <w:tcPr>
            <w:tcW w:w="495" w:type="dxa"/>
            <w:vMerge w:val="restart"/>
            <w:noWrap w:val="0"/>
            <w:vAlign w:val="center"/>
          </w:tcPr>
          <w:p w14:paraId="6D15E61C">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lang w:eastAsia="zh-CN"/>
              </w:rPr>
              <w:t>岗位代码</w:t>
            </w:r>
          </w:p>
        </w:tc>
        <w:tc>
          <w:tcPr>
            <w:tcW w:w="1311" w:type="dxa"/>
            <w:vMerge w:val="restart"/>
            <w:noWrap w:val="0"/>
            <w:vAlign w:val="center"/>
          </w:tcPr>
          <w:p w14:paraId="75EDF35F">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企业</w:t>
            </w:r>
            <w:r>
              <w:rPr>
                <w:rFonts w:hint="default" w:ascii="Times New Roman" w:hAnsi="Times New Roman" w:eastAsia="方正黑体_GBK" w:cs="Times New Roman"/>
                <w:color w:val="auto"/>
                <w:kern w:val="0"/>
                <w:sz w:val="22"/>
                <w:szCs w:val="22"/>
                <w:lang w:eastAsia="zh-CN"/>
              </w:rPr>
              <w:t>名称</w:t>
            </w:r>
          </w:p>
        </w:tc>
        <w:tc>
          <w:tcPr>
            <w:tcW w:w="1325" w:type="dxa"/>
            <w:vMerge w:val="restart"/>
            <w:noWrap w:val="0"/>
            <w:vAlign w:val="center"/>
          </w:tcPr>
          <w:p w14:paraId="7596BDFB">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lang w:eastAsia="zh-CN"/>
              </w:rPr>
              <w:t>联系人/电话</w:t>
            </w:r>
          </w:p>
        </w:tc>
        <w:tc>
          <w:tcPr>
            <w:tcW w:w="1020" w:type="dxa"/>
            <w:vMerge w:val="restart"/>
            <w:noWrap w:val="0"/>
            <w:vAlign w:val="center"/>
          </w:tcPr>
          <w:p w14:paraId="795A23C4">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招聘</w:t>
            </w:r>
            <w:r>
              <w:rPr>
                <w:rFonts w:hint="default" w:ascii="Times New Roman" w:hAnsi="Times New Roman" w:eastAsia="方正黑体_GBK" w:cs="Times New Roman"/>
                <w:color w:val="auto"/>
                <w:kern w:val="0"/>
                <w:sz w:val="22"/>
                <w:szCs w:val="22"/>
                <w:lang w:eastAsia="zh-CN"/>
              </w:rPr>
              <w:t>岗位</w:t>
            </w:r>
          </w:p>
        </w:tc>
        <w:tc>
          <w:tcPr>
            <w:tcW w:w="475" w:type="dxa"/>
            <w:vMerge w:val="restart"/>
            <w:noWrap w:val="0"/>
            <w:vAlign w:val="center"/>
          </w:tcPr>
          <w:p w14:paraId="0A3EF3E8">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招聘</w:t>
            </w:r>
            <w:r>
              <w:rPr>
                <w:rFonts w:hint="default" w:ascii="Times New Roman" w:hAnsi="Times New Roman" w:eastAsia="方正黑体_GBK" w:cs="Times New Roman"/>
                <w:color w:val="auto"/>
                <w:kern w:val="0"/>
                <w:sz w:val="22"/>
                <w:szCs w:val="22"/>
                <w:lang w:eastAsia="zh-CN"/>
              </w:rPr>
              <w:t>人数</w:t>
            </w:r>
          </w:p>
        </w:tc>
        <w:tc>
          <w:tcPr>
            <w:tcW w:w="9362" w:type="dxa"/>
            <w:gridSpan w:val="4"/>
            <w:noWrap w:val="0"/>
            <w:vAlign w:val="center"/>
          </w:tcPr>
          <w:p w14:paraId="58863E7F">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招聘条件</w:t>
            </w:r>
          </w:p>
        </w:tc>
        <w:tc>
          <w:tcPr>
            <w:tcW w:w="1150" w:type="dxa"/>
            <w:vMerge w:val="restart"/>
            <w:noWrap w:val="0"/>
            <w:vAlign w:val="center"/>
          </w:tcPr>
          <w:p w14:paraId="210A60C8">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预计</w:t>
            </w:r>
          </w:p>
          <w:p w14:paraId="501F0C20">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薪酬</w:t>
            </w:r>
          </w:p>
        </w:tc>
        <w:tc>
          <w:tcPr>
            <w:tcW w:w="892" w:type="dxa"/>
            <w:vMerge w:val="restart"/>
            <w:noWrap w:val="0"/>
            <w:vAlign w:val="center"/>
          </w:tcPr>
          <w:p w14:paraId="0315D9C1">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lang w:eastAsia="zh-CN"/>
              </w:rPr>
              <w:t>备注</w:t>
            </w:r>
          </w:p>
        </w:tc>
      </w:tr>
      <w:tr w14:paraId="3360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jc w:val="center"/>
        </w:trPr>
        <w:tc>
          <w:tcPr>
            <w:tcW w:w="495" w:type="dxa"/>
            <w:vMerge w:val="continue"/>
            <w:noWrap w:val="0"/>
            <w:vAlign w:val="center"/>
          </w:tcPr>
          <w:p w14:paraId="21A5ED89">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p>
        </w:tc>
        <w:tc>
          <w:tcPr>
            <w:tcW w:w="1311" w:type="dxa"/>
            <w:vMerge w:val="continue"/>
            <w:noWrap w:val="0"/>
            <w:vAlign w:val="center"/>
          </w:tcPr>
          <w:p w14:paraId="7F4D9B5B">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eastAsia" w:ascii="Times New Roman" w:hAnsi="Times New Roman" w:eastAsia="方正黑体_GBK" w:cs="Times New Roman"/>
                <w:color w:val="auto"/>
                <w:kern w:val="0"/>
                <w:sz w:val="22"/>
                <w:szCs w:val="22"/>
                <w:lang w:eastAsia="zh-CN"/>
              </w:rPr>
            </w:pPr>
          </w:p>
        </w:tc>
        <w:tc>
          <w:tcPr>
            <w:tcW w:w="1325" w:type="dxa"/>
            <w:vMerge w:val="continue"/>
            <w:noWrap w:val="0"/>
            <w:vAlign w:val="center"/>
          </w:tcPr>
          <w:p w14:paraId="7BB32100">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p>
        </w:tc>
        <w:tc>
          <w:tcPr>
            <w:tcW w:w="1020" w:type="dxa"/>
            <w:vMerge w:val="continue"/>
            <w:noWrap w:val="0"/>
            <w:vAlign w:val="center"/>
          </w:tcPr>
          <w:p w14:paraId="260758E9">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p>
        </w:tc>
        <w:tc>
          <w:tcPr>
            <w:tcW w:w="475" w:type="dxa"/>
            <w:vMerge w:val="continue"/>
            <w:noWrap w:val="0"/>
            <w:vAlign w:val="center"/>
          </w:tcPr>
          <w:p w14:paraId="0F62D4F3">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p>
        </w:tc>
        <w:tc>
          <w:tcPr>
            <w:tcW w:w="2229" w:type="dxa"/>
            <w:noWrap w:val="0"/>
            <w:vAlign w:val="center"/>
          </w:tcPr>
          <w:p w14:paraId="5678A30A">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val="en-US" w:eastAsia="zh-CN" w:bidi="ar-SA"/>
              </w:rPr>
            </w:pPr>
            <w:r>
              <w:rPr>
                <w:rFonts w:hint="default" w:ascii="Times New Roman" w:hAnsi="Times New Roman" w:eastAsia="方正黑体_GBK" w:cs="Times New Roman"/>
                <w:color w:val="auto"/>
                <w:kern w:val="0"/>
                <w:sz w:val="22"/>
                <w:szCs w:val="22"/>
                <w:lang w:eastAsia="zh-CN"/>
              </w:rPr>
              <w:t>需求专业</w:t>
            </w:r>
          </w:p>
        </w:tc>
        <w:tc>
          <w:tcPr>
            <w:tcW w:w="3040" w:type="dxa"/>
            <w:noWrap w:val="0"/>
            <w:vAlign w:val="center"/>
          </w:tcPr>
          <w:p w14:paraId="71720BC2">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val="en-US" w:eastAsia="zh-CN" w:bidi="ar-SA"/>
              </w:rPr>
            </w:pPr>
            <w:r>
              <w:rPr>
                <w:rFonts w:hint="default" w:ascii="Times New Roman" w:hAnsi="Times New Roman" w:eastAsia="方正黑体_GBK" w:cs="Times New Roman"/>
                <w:color w:val="auto"/>
                <w:kern w:val="0"/>
                <w:sz w:val="22"/>
                <w:szCs w:val="22"/>
                <w:lang w:eastAsia="zh-CN"/>
              </w:rPr>
              <w:t>学历</w:t>
            </w:r>
          </w:p>
        </w:tc>
        <w:tc>
          <w:tcPr>
            <w:tcW w:w="793" w:type="dxa"/>
            <w:noWrap w:val="0"/>
            <w:vAlign w:val="center"/>
          </w:tcPr>
          <w:p w14:paraId="7352A5A0">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eastAsia" w:ascii="Times New Roman" w:hAnsi="Times New Roman" w:eastAsia="方正黑体_GBK" w:cs="Times New Roman"/>
                <w:color w:val="auto"/>
                <w:kern w:val="0"/>
                <w:sz w:val="22"/>
                <w:szCs w:val="22"/>
                <w:lang w:eastAsia="zh-CN"/>
              </w:rPr>
            </w:pPr>
            <w:r>
              <w:rPr>
                <w:rFonts w:hint="eastAsia" w:ascii="Times New Roman" w:hAnsi="Times New Roman" w:eastAsia="方正黑体_GBK" w:cs="Times New Roman"/>
                <w:color w:val="auto"/>
                <w:kern w:val="0"/>
                <w:sz w:val="22"/>
                <w:szCs w:val="22"/>
                <w:lang w:eastAsia="zh-CN"/>
              </w:rPr>
              <w:t>学位</w:t>
            </w:r>
          </w:p>
        </w:tc>
        <w:tc>
          <w:tcPr>
            <w:tcW w:w="3300" w:type="dxa"/>
            <w:noWrap w:val="0"/>
            <w:vAlign w:val="center"/>
          </w:tcPr>
          <w:p w14:paraId="2771BF44">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eastAsia" w:ascii="Times New Roman" w:hAnsi="Times New Roman" w:eastAsia="方正黑体_GBK" w:cs="Times New Roman"/>
                <w:color w:val="auto"/>
                <w:kern w:val="0"/>
                <w:sz w:val="22"/>
                <w:szCs w:val="22"/>
                <w:lang w:val="en-US" w:eastAsia="zh-CN" w:bidi="ar-SA"/>
              </w:rPr>
            </w:pPr>
            <w:r>
              <w:rPr>
                <w:rFonts w:hint="eastAsia" w:ascii="Times New Roman" w:hAnsi="Times New Roman" w:eastAsia="方正黑体_GBK" w:cs="Times New Roman"/>
                <w:color w:val="auto"/>
                <w:kern w:val="0"/>
                <w:sz w:val="22"/>
                <w:szCs w:val="22"/>
                <w:lang w:eastAsia="zh-CN"/>
              </w:rPr>
              <w:t>岗位条件</w:t>
            </w:r>
          </w:p>
        </w:tc>
        <w:tc>
          <w:tcPr>
            <w:tcW w:w="1150" w:type="dxa"/>
            <w:vMerge w:val="continue"/>
            <w:noWrap w:val="0"/>
            <w:vAlign w:val="center"/>
          </w:tcPr>
          <w:p w14:paraId="5916DAC5">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eastAsia" w:ascii="Times New Roman" w:hAnsi="Times New Roman" w:eastAsia="方正黑体_GBK" w:cs="Times New Roman"/>
                <w:color w:val="auto"/>
                <w:kern w:val="0"/>
                <w:sz w:val="22"/>
                <w:szCs w:val="22"/>
                <w:lang w:eastAsia="zh-CN"/>
              </w:rPr>
            </w:pPr>
          </w:p>
        </w:tc>
        <w:tc>
          <w:tcPr>
            <w:tcW w:w="892" w:type="dxa"/>
            <w:vMerge w:val="continue"/>
            <w:noWrap w:val="0"/>
            <w:vAlign w:val="center"/>
          </w:tcPr>
          <w:p w14:paraId="5D7C1816">
            <w:pPr>
              <w:keepNext w:val="0"/>
              <w:keepLines w:val="0"/>
              <w:pageBreakBefore w:val="0"/>
              <w:widowControl w:val="0"/>
              <w:kinsoku/>
              <w:wordWrap/>
              <w:overflowPunct/>
              <w:topLinePunct w:val="0"/>
              <w:autoSpaceDE/>
              <w:autoSpaceDN/>
              <w:bidi w:val="0"/>
              <w:adjustRightInd/>
              <w:snapToGrid/>
              <w:spacing w:after="0" w:line="220" w:lineRule="exact"/>
              <w:ind w:firstLine="0" w:firstLineChars="0"/>
              <w:jc w:val="center"/>
              <w:textAlignment w:val="auto"/>
              <w:rPr>
                <w:rFonts w:hint="default" w:ascii="Times New Roman" w:hAnsi="Times New Roman" w:eastAsia="方正黑体_GBK" w:cs="Times New Roman"/>
                <w:color w:val="auto"/>
                <w:kern w:val="0"/>
                <w:sz w:val="22"/>
                <w:szCs w:val="22"/>
                <w:lang w:eastAsia="zh-CN"/>
              </w:rPr>
            </w:pPr>
          </w:p>
        </w:tc>
      </w:tr>
      <w:tr w14:paraId="4358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5" w:hRule="atLeast"/>
          <w:jc w:val="center"/>
        </w:trPr>
        <w:tc>
          <w:tcPr>
            <w:tcW w:w="495" w:type="dxa"/>
            <w:noWrap w:val="0"/>
            <w:vAlign w:val="center"/>
          </w:tcPr>
          <w:p w14:paraId="000C2632">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w:t>
            </w:r>
          </w:p>
        </w:tc>
        <w:tc>
          <w:tcPr>
            <w:tcW w:w="1311" w:type="dxa"/>
            <w:vMerge w:val="restart"/>
            <w:noWrap w:val="0"/>
            <w:vAlign w:val="center"/>
          </w:tcPr>
          <w:p w14:paraId="484C2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eastAsia"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四川省岳池银泰投资（控股）有限公司</w:t>
            </w:r>
          </w:p>
        </w:tc>
        <w:tc>
          <w:tcPr>
            <w:tcW w:w="1325" w:type="dxa"/>
            <w:vMerge w:val="restart"/>
            <w:noWrap w:val="0"/>
            <w:vAlign w:val="center"/>
          </w:tcPr>
          <w:p w14:paraId="45B95A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eastAsia"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唐老师</w:t>
            </w:r>
          </w:p>
          <w:p w14:paraId="4ACC47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微软雅黑" w:cs="Times New Roman"/>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0826-5270078</w:t>
            </w:r>
          </w:p>
        </w:tc>
        <w:tc>
          <w:tcPr>
            <w:tcW w:w="1020" w:type="dxa"/>
            <w:noWrap w:val="0"/>
            <w:vAlign w:val="center"/>
          </w:tcPr>
          <w:p w14:paraId="50333A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战略与投融资发展部副部长</w:t>
            </w:r>
          </w:p>
        </w:tc>
        <w:tc>
          <w:tcPr>
            <w:tcW w:w="475" w:type="dxa"/>
            <w:noWrap w:val="0"/>
            <w:vAlign w:val="center"/>
          </w:tcPr>
          <w:p w14:paraId="094048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6066E9D4">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金融学、金融工程、金融工程学、政治经济学、投资经济学、投资学</w:t>
            </w:r>
          </w:p>
        </w:tc>
        <w:tc>
          <w:tcPr>
            <w:tcW w:w="3040" w:type="dxa"/>
            <w:noWrap w:val="0"/>
            <w:vAlign w:val="center"/>
          </w:tcPr>
          <w:p w14:paraId="3A932740">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163518F1">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581D8197">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ahoma" w:hAnsi="Tahoma" w:eastAsia="微软雅黑"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4FE7DA8F">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1.具有1年及以上投融资管理、风控等工作经验；持有中级及以上财经类职称；</w:t>
            </w:r>
          </w:p>
          <w:p w14:paraId="1B0EF53F">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ahoma" w:hAnsi="Tahoma" w:eastAsia="微软雅黑"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2.熟悉国家法律法规和行业相关政策，熟悉企业管理、战略管理、财务管理、投融资管理等专业知识。</w:t>
            </w:r>
          </w:p>
        </w:tc>
        <w:tc>
          <w:tcPr>
            <w:tcW w:w="1150" w:type="dxa"/>
            <w:noWrap w:val="0"/>
            <w:vAlign w:val="center"/>
          </w:tcPr>
          <w:p w14:paraId="75F6220E">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协议工资制10000-12000元/月</w:t>
            </w:r>
          </w:p>
        </w:tc>
        <w:tc>
          <w:tcPr>
            <w:tcW w:w="892" w:type="dxa"/>
            <w:noWrap w:val="0"/>
            <w:vAlign w:val="center"/>
          </w:tcPr>
          <w:p w14:paraId="1A9C72C7">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rPr>
            </w:pPr>
          </w:p>
        </w:tc>
      </w:tr>
      <w:tr w14:paraId="7507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95" w:type="dxa"/>
            <w:noWrap w:val="0"/>
            <w:vAlign w:val="center"/>
          </w:tcPr>
          <w:p w14:paraId="7CCAC679">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2</w:t>
            </w:r>
          </w:p>
        </w:tc>
        <w:tc>
          <w:tcPr>
            <w:tcW w:w="1311" w:type="dxa"/>
            <w:vMerge w:val="continue"/>
            <w:noWrap w:val="0"/>
            <w:vAlign w:val="center"/>
          </w:tcPr>
          <w:p w14:paraId="5E7174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eastAsia" w:ascii="Times New Roman" w:hAnsi="Times New Roman" w:eastAsia="方正仿宋_GBK" w:cs="方正仿宋_GBK"/>
                <w:color w:val="auto"/>
                <w:kern w:val="0"/>
                <w:sz w:val="20"/>
                <w:szCs w:val="20"/>
                <w:highlight w:val="none"/>
                <w:lang w:val="en-US" w:eastAsia="zh-CN" w:bidi="ar-SA"/>
              </w:rPr>
            </w:pPr>
          </w:p>
        </w:tc>
        <w:tc>
          <w:tcPr>
            <w:tcW w:w="1325" w:type="dxa"/>
            <w:vMerge w:val="continue"/>
            <w:noWrap w:val="0"/>
            <w:vAlign w:val="center"/>
          </w:tcPr>
          <w:p w14:paraId="66CC2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eastAsia" w:ascii="Times New Roman" w:hAnsi="Times New Roman" w:eastAsia="微软雅黑" w:cs="Times New Roman"/>
                <w:color w:val="auto"/>
                <w:kern w:val="0"/>
                <w:sz w:val="20"/>
                <w:szCs w:val="20"/>
                <w:highlight w:val="none"/>
                <w:lang w:val="en-US" w:eastAsia="zh-CN" w:bidi="ar-SA"/>
              </w:rPr>
            </w:pPr>
          </w:p>
        </w:tc>
        <w:tc>
          <w:tcPr>
            <w:tcW w:w="1020" w:type="dxa"/>
            <w:noWrap w:val="0"/>
            <w:vAlign w:val="center"/>
          </w:tcPr>
          <w:p w14:paraId="175BB6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法务风控部副部长</w:t>
            </w:r>
          </w:p>
        </w:tc>
        <w:tc>
          <w:tcPr>
            <w:tcW w:w="475" w:type="dxa"/>
            <w:noWrap w:val="0"/>
            <w:vAlign w:val="center"/>
          </w:tcPr>
          <w:p w14:paraId="02F667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67E7A020">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法律、法学、法学理论、法律史、法律职业伦理、法律政治学、民商法学、经济法学、民法学、诉讼法学、财税法学、环境与资源保护法学</w:t>
            </w:r>
          </w:p>
        </w:tc>
        <w:tc>
          <w:tcPr>
            <w:tcW w:w="3040" w:type="dxa"/>
            <w:noWrap w:val="0"/>
            <w:vAlign w:val="center"/>
          </w:tcPr>
          <w:p w14:paraId="04D4D118">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08958471">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3D8D46E5">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41AB93B4">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1.具有1年及以上法务工作经验；取得A类《法律职业资格证》或律师执业资格证，能够独立参加诉讼；</w:t>
            </w:r>
          </w:p>
          <w:p w14:paraId="3EB50BBD">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2.具有一定的法律文书书写能力，熟悉合同法、公司法、经济法等法律法规，熟悉各类合同文本的起草、审核及签订；</w:t>
            </w:r>
          </w:p>
          <w:p w14:paraId="39DCF703">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3.有较强的谈判能力、沟通能力、亲和力，有原则性及灵活性。</w:t>
            </w:r>
          </w:p>
        </w:tc>
        <w:tc>
          <w:tcPr>
            <w:tcW w:w="1150" w:type="dxa"/>
            <w:noWrap w:val="0"/>
            <w:vAlign w:val="center"/>
          </w:tcPr>
          <w:p w14:paraId="03ECA791">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协议工资制10000-12000元/月</w:t>
            </w:r>
          </w:p>
        </w:tc>
        <w:tc>
          <w:tcPr>
            <w:tcW w:w="892" w:type="dxa"/>
            <w:noWrap w:val="0"/>
            <w:vAlign w:val="center"/>
          </w:tcPr>
          <w:p w14:paraId="07E3B992">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rPr>
            </w:pPr>
          </w:p>
        </w:tc>
      </w:tr>
      <w:tr w14:paraId="46F5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4" w:hRule="atLeast"/>
          <w:jc w:val="center"/>
        </w:trPr>
        <w:tc>
          <w:tcPr>
            <w:tcW w:w="495" w:type="dxa"/>
            <w:noWrap w:val="0"/>
            <w:vAlign w:val="center"/>
          </w:tcPr>
          <w:p w14:paraId="28A57876">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w:t>
            </w:r>
          </w:p>
        </w:tc>
        <w:tc>
          <w:tcPr>
            <w:tcW w:w="1311" w:type="dxa"/>
            <w:vMerge w:val="restart"/>
            <w:noWrap w:val="0"/>
            <w:vAlign w:val="center"/>
          </w:tcPr>
          <w:p w14:paraId="40C678A8">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四川省岳池银泰投资（控股）有限公司</w:t>
            </w:r>
          </w:p>
        </w:tc>
        <w:tc>
          <w:tcPr>
            <w:tcW w:w="1325" w:type="dxa"/>
            <w:vMerge w:val="restart"/>
            <w:noWrap w:val="0"/>
            <w:vAlign w:val="center"/>
          </w:tcPr>
          <w:p w14:paraId="66C272AF">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唐老师</w:t>
            </w:r>
          </w:p>
          <w:p w14:paraId="34B69F86">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0826-5270078</w:t>
            </w:r>
          </w:p>
        </w:tc>
        <w:tc>
          <w:tcPr>
            <w:tcW w:w="1020" w:type="dxa"/>
            <w:noWrap w:val="0"/>
            <w:vAlign w:val="center"/>
          </w:tcPr>
          <w:p w14:paraId="3B65A012">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四川省岳池水利水电开发实业公司</w:t>
            </w:r>
            <w:r>
              <w:rPr>
                <w:rFonts w:hint="eastAsia" w:ascii="Times New Roman" w:hAnsi="Times New Roman" w:eastAsia="方正仿宋_GBK" w:cs="Times New Roman"/>
                <w:color w:val="auto"/>
                <w:kern w:val="0"/>
                <w:sz w:val="20"/>
                <w:szCs w:val="20"/>
                <w:lang w:val="en-US" w:eastAsia="zh-CN"/>
              </w:rPr>
              <w:t>副总经理</w:t>
            </w:r>
          </w:p>
        </w:tc>
        <w:tc>
          <w:tcPr>
            <w:tcW w:w="475" w:type="dxa"/>
            <w:noWrap w:val="0"/>
            <w:vAlign w:val="center"/>
          </w:tcPr>
          <w:p w14:paraId="56030802">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7A633841">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水力学及河流动力学、水利工程、水利水电工程、城市水务</w:t>
            </w:r>
          </w:p>
        </w:tc>
        <w:tc>
          <w:tcPr>
            <w:tcW w:w="3040" w:type="dxa"/>
            <w:noWrap w:val="0"/>
            <w:vAlign w:val="center"/>
          </w:tcPr>
          <w:p w14:paraId="2FE549D5">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6EA5BF93">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62ECBE9A">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221B52FB">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1.具有1年及以上水利相关工作经验；</w:t>
            </w:r>
          </w:p>
          <w:p w14:paraId="6B294D2B">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2.掌握</w:t>
            </w:r>
            <w:r>
              <w:rPr>
                <w:rFonts w:hint="default" w:ascii="Times New Roman" w:hAnsi="Times New Roman" w:eastAsia="方正仿宋_GBK" w:cs="Times New Roman"/>
                <w:color w:val="auto"/>
                <w:kern w:val="0"/>
                <w:sz w:val="20"/>
                <w:szCs w:val="20"/>
                <w:lang w:val="en-US" w:eastAsia="zh-CN"/>
              </w:rPr>
              <w:t>水利工程、水文分析、施工管理等相关专业知识</w:t>
            </w:r>
            <w:r>
              <w:rPr>
                <w:rFonts w:hint="eastAsia" w:ascii="Times New Roman" w:hAnsi="Times New Roman" w:eastAsia="方正仿宋_GBK" w:cs="Times New Roman"/>
                <w:color w:val="auto"/>
                <w:kern w:val="0"/>
                <w:sz w:val="20"/>
                <w:szCs w:val="20"/>
                <w:lang w:val="en-US" w:eastAsia="zh-CN"/>
              </w:rPr>
              <w:t>，</w:t>
            </w:r>
            <w:r>
              <w:rPr>
                <w:rFonts w:hint="default" w:ascii="Times New Roman" w:hAnsi="Times New Roman" w:eastAsia="方正仿宋_GBK" w:cs="Times New Roman"/>
                <w:color w:val="auto"/>
                <w:kern w:val="0"/>
                <w:sz w:val="20"/>
                <w:szCs w:val="20"/>
                <w:lang w:val="en-US" w:eastAsia="zh-CN"/>
              </w:rPr>
              <w:t>能独立解决工程中的技术问题</w:t>
            </w:r>
            <w:r>
              <w:rPr>
                <w:rFonts w:hint="eastAsia" w:ascii="Times New Roman" w:hAnsi="Times New Roman" w:eastAsia="方正仿宋_GBK" w:cs="Times New Roman"/>
                <w:color w:val="auto"/>
                <w:kern w:val="0"/>
                <w:sz w:val="20"/>
                <w:szCs w:val="20"/>
                <w:lang w:val="en-US" w:eastAsia="zh-CN"/>
              </w:rPr>
              <w:t>；</w:t>
            </w:r>
          </w:p>
          <w:p w14:paraId="2F95F6E4">
            <w:pPr>
              <w:keepNext w:val="0"/>
              <w:keepLines w:val="0"/>
              <w:pageBreakBefore w:val="0"/>
              <w:widowControl w:val="0"/>
              <w:kinsoku/>
              <w:wordWrap/>
              <w:overflowPunct/>
              <w:topLinePunct w:val="0"/>
              <w:autoSpaceDE/>
              <w:autoSpaceDN/>
              <w:bidi w:val="0"/>
              <w:adjustRightInd w:val="0"/>
              <w:snapToGrid w:val="0"/>
              <w:spacing w:after="0" w:line="24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w:t>
            </w:r>
            <w:r>
              <w:rPr>
                <w:rFonts w:hint="eastAsia" w:ascii="Times New Roman" w:hAnsi="Times New Roman" w:eastAsia="方正仿宋_GBK" w:cs="Times New Roman"/>
                <w:color w:val="auto"/>
                <w:kern w:val="0"/>
                <w:sz w:val="20"/>
                <w:szCs w:val="20"/>
                <w:lang w:val="en-US" w:eastAsia="zh-CN"/>
              </w:rPr>
              <w:t>同等条件下，持有相关职称或执业资格优先。</w:t>
            </w:r>
          </w:p>
        </w:tc>
        <w:tc>
          <w:tcPr>
            <w:tcW w:w="1150" w:type="dxa"/>
            <w:noWrap w:val="0"/>
            <w:vAlign w:val="center"/>
          </w:tcPr>
          <w:p w14:paraId="675DE6BC">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协议工资制10000-12000元/月</w:t>
            </w:r>
          </w:p>
        </w:tc>
        <w:tc>
          <w:tcPr>
            <w:tcW w:w="892" w:type="dxa"/>
            <w:noWrap w:val="0"/>
            <w:vAlign w:val="center"/>
          </w:tcPr>
          <w:p w14:paraId="3A1E3351">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rPr>
            </w:pPr>
          </w:p>
        </w:tc>
      </w:tr>
      <w:tr w14:paraId="5654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36" w:hRule="atLeast"/>
          <w:jc w:val="center"/>
        </w:trPr>
        <w:tc>
          <w:tcPr>
            <w:tcW w:w="495" w:type="dxa"/>
            <w:noWrap w:val="0"/>
            <w:vAlign w:val="center"/>
          </w:tcPr>
          <w:p w14:paraId="61AF47AB">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4</w:t>
            </w:r>
          </w:p>
        </w:tc>
        <w:tc>
          <w:tcPr>
            <w:tcW w:w="1311" w:type="dxa"/>
            <w:vMerge w:val="continue"/>
            <w:noWrap w:val="0"/>
            <w:vAlign w:val="center"/>
          </w:tcPr>
          <w:p w14:paraId="412EB2F7">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p>
        </w:tc>
        <w:tc>
          <w:tcPr>
            <w:tcW w:w="1325" w:type="dxa"/>
            <w:vMerge w:val="continue"/>
            <w:noWrap w:val="0"/>
            <w:vAlign w:val="center"/>
          </w:tcPr>
          <w:p w14:paraId="29091A03">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p>
        </w:tc>
        <w:tc>
          <w:tcPr>
            <w:tcW w:w="1020" w:type="dxa"/>
            <w:noWrap w:val="0"/>
            <w:vAlign w:val="center"/>
          </w:tcPr>
          <w:p w14:paraId="77A74888">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四川英卓建设工程有限公司副总经理</w:t>
            </w:r>
          </w:p>
        </w:tc>
        <w:tc>
          <w:tcPr>
            <w:tcW w:w="475" w:type="dxa"/>
            <w:noWrap w:val="0"/>
            <w:vAlign w:val="center"/>
          </w:tcPr>
          <w:p w14:paraId="242B0F30">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588A0B48">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建筑学、土木工程、土木工程建造与管理、土木工程规划与管理、工程管理、建设工程管理</w:t>
            </w:r>
          </w:p>
        </w:tc>
        <w:tc>
          <w:tcPr>
            <w:tcW w:w="3040" w:type="dxa"/>
            <w:noWrap w:val="0"/>
            <w:vAlign w:val="center"/>
          </w:tcPr>
          <w:p w14:paraId="3AB8B56C">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5CED599B">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69DCD13E">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4704504F">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exact"/>
              <w:jc w:val="both"/>
              <w:textAlignment w:val="auto"/>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1.具有2年及以上工程施工管理工作经验；取得二级建造师或中级工程师及以上证书；</w:t>
            </w:r>
          </w:p>
          <w:p w14:paraId="16858127">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exact"/>
              <w:jc w:val="both"/>
              <w:textAlignment w:val="auto"/>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2.熟悉施工流程、质量验收标准及安全规范，掌握施工图纸识读、方案编制及技术交底能力；</w:t>
            </w:r>
          </w:p>
          <w:p w14:paraId="20534BC5">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exact"/>
              <w:jc w:val="both"/>
              <w:textAlignment w:val="auto"/>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3.熟练使用CAD等绘图软件；</w:t>
            </w:r>
          </w:p>
          <w:p w14:paraId="79479E1F">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exact"/>
              <w:jc w:val="both"/>
              <w:textAlignment w:val="auto"/>
              <w:rPr>
                <w:rFonts w:hint="default" w:ascii="Tahoma" w:hAnsi="Tahoma" w:eastAsia="微软雅黑" w:cs="Times New Roman"/>
                <w:color w:val="auto"/>
                <w:kern w:val="0"/>
                <w:sz w:val="22"/>
                <w:szCs w:val="22"/>
                <w:lang w:val="en-US" w:eastAsia="zh-CN"/>
              </w:rPr>
            </w:pPr>
            <w:r>
              <w:rPr>
                <w:rFonts w:hint="default" w:ascii="Times New Roman" w:hAnsi="Times New Roman" w:eastAsia="方正仿宋_GBK" w:cs="Times New Roman"/>
                <w:color w:val="auto"/>
                <w:kern w:val="0"/>
                <w:sz w:val="20"/>
                <w:szCs w:val="20"/>
                <w:lang w:val="en-US" w:eastAsia="zh-CN"/>
              </w:rPr>
              <w:t>4.同等条件下，</w:t>
            </w:r>
            <w:r>
              <w:rPr>
                <w:rFonts w:hint="eastAsia" w:ascii="Times New Roman" w:hAnsi="Times New Roman" w:eastAsia="方正仿宋_GBK" w:cs="Times New Roman"/>
                <w:color w:val="auto"/>
                <w:kern w:val="0"/>
                <w:sz w:val="20"/>
                <w:szCs w:val="20"/>
                <w:lang w:val="en-US" w:eastAsia="zh-CN"/>
              </w:rPr>
              <w:t>持有</w:t>
            </w:r>
            <w:r>
              <w:rPr>
                <w:rFonts w:hint="default" w:ascii="Times New Roman" w:hAnsi="Times New Roman" w:eastAsia="方正仿宋_GBK" w:cs="Times New Roman"/>
                <w:color w:val="auto"/>
                <w:kern w:val="0"/>
                <w:sz w:val="20"/>
                <w:szCs w:val="20"/>
                <w:lang w:val="en-US" w:eastAsia="zh-CN"/>
              </w:rPr>
              <w:t>一级建造师或高级职称及以上职称的优先。</w:t>
            </w:r>
          </w:p>
        </w:tc>
        <w:tc>
          <w:tcPr>
            <w:tcW w:w="1150" w:type="dxa"/>
            <w:noWrap w:val="0"/>
            <w:vAlign w:val="center"/>
          </w:tcPr>
          <w:p w14:paraId="482EC5E7">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协议工资制10000-12000元/月</w:t>
            </w:r>
          </w:p>
        </w:tc>
        <w:tc>
          <w:tcPr>
            <w:tcW w:w="892" w:type="dxa"/>
            <w:noWrap w:val="0"/>
            <w:vAlign w:val="center"/>
          </w:tcPr>
          <w:p w14:paraId="3BEAD185">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rPr>
            </w:pPr>
          </w:p>
        </w:tc>
      </w:tr>
      <w:tr w14:paraId="03E9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7" w:hRule="atLeast"/>
          <w:jc w:val="center"/>
        </w:trPr>
        <w:tc>
          <w:tcPr>
            <w:tcW w:w="495" w:type="dxa"/>
            <w:noWrap w:val="0"/>
            <w:vAlign w:val="center"/>
          </w:tcPr>
          <w:p w14:paraId="4F8242D7">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bidi="ar-SA"/>
              </w:rPr>
            </w:pPr>
            <w:r>
              <w:rPr>
                <w:rFonts w:hint="eastAsia" w:ascii="Times New Roman" w:hAnsi="Times New Roman" w:eastAsia="方正仿宋_GBK" w:cs="Times New Roman"/>
                <w:color w:val="auto"/>
                <w:kern w:val="0"/>
                <w:sz w:val="22"/>
                <w:szCs w:val="22"/>
                <w:lang w:val="en-US" w:eastAsia="zh-CN" w:bidi="ar-SA"/>
              </w:rPr>
              <w:t>5</w:t>
            </w:r>
          </w:p>
        </w:tc>
        <w:tc>
          <w:tcPr>
            <w:tcW w:w="1311" w:type="dxa"/>
            <w:vMerge w:val="restart"/>
            <w:noWrap w:val="0"/>
            <w:vAlign w:val="center"/>
          </w:tcPr>
          <w:p w14:paraId="5F7E85BD">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岳池发展建设集团有限公司</w:t>
            </w:r>
          </w:p>
        </w:tc>
        <w:tc>
          <w:tcPr>
            <w:tcW w:w="1325" w:type="dxa"/>
            <w:vMerge w:val="restart"/>
            <w:noWrap w:val="0"/>
            <w:vAlign w:val="center"/>
          </w:tcPr>
          <w:p w14:paraId="62C1EE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eastAsia"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郑老师</w:t>
            </w:r>
          </w:p>
          <w:p w14:paraId="16110D08">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0826-5890208</w:t>
            </w:r>
            <w:r>
              <w:rPr>
                <w:rFonts w:hint="eastAsia" w:ascii="Times New Roman" w:hAnsi="Times New Roman" w:eastAsia="微软雅黑" w:cs="Times New Roman"/>
                <w:color w:val="auto"/>
                <w:kern w:val="0"/>
                <w:sz w:val="20"/>
                <w:szCs w:val="20"/>
                <w:highlight w:val="none"/>
                <w:lang w:val="en-US" w:eastAsia="zh-CN" w:bidi="ar-SA"/>
              </w:rPr>
              <w:t xml:space="preserve"> </w:t>
            </w:r>
          </w:p>
        </w:tc>
        <w:tc>
          <w:tcPr>
            <w:tcW w:w="1020" w:type="dxa"/>
            <w:noWrap w:val="0"/>
            <w:vAlign w:val="center"/>
          </w:tcPr>
          <w:p w14:paraId="3A9AEA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法务合约部部长</w:t>
            </w:r>
          </w:p>
        </w:tc>
        <w:tc>
          <w:tcPr>
            <w:tcW w:w="475" w:type="dxa"/>
            <w:noWrap w:val="0"/>
            <w:vAlign w:val="center"/>
          </w:tcPr>
          <w:p w14:paraId="71F46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7D5C7ACD">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法律、法学、法学理论、法律史、法律职业伦理、法律政治学、民商法学、经济法学、民法学、诉讼法学、财税法学、环境与资源保护法学</w:t>
            </w:r>
          </w:p>
        </w:tc>
        <w:tc>
          <w:tcPr>
            <w:tcW w:w="3040" w:type="dxa"/>
            <w:noWrap w:val="0"/>
            <w:vAlign w:val="center"/>
          </w:tcPr>
          <w:p w14:paraId="12BE0C3B">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26C0A225">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0ADB3C47">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6DCDB41A">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1.取得A类《法律职业资格证》或律师执业资格证，熟悉合同法、公司法、劳动法等法律法规，对企业运营中的法律事务有深入了解；</w:t>
            </w:r>
          </w:p>
          <w:p w14:paraId="4964C2E5">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2.具备丰富的合同起草、审核、修订及管理经验，能准确识别合同中的法律风险并提出防范措施；</w:t>
            </w:r>
          </w:p>
          <w:p w14:paraId="3BB9B6FD">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3.善于与内部各部门及外部机构进行沟通协调，能与业务部门紧密合作，提供及时有效的法律支持，同时与司法机关、律师事务所等保持良好的合作关系。</w:t>
            </w:r>
          </w:p>
        </w:tc>
        <w:tc>
          <w:tcPr>
            <w:tcW w:w="1150" w:type="dxa"/>
            <w:noWrap w:val="0"/>
            <w:vAlign w:val="center"/>
          </w:tcPr>
          <w:p w14:paraId="6055277D">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协议工资制10000-15500元/月</w:t>
            </w:r>
          </w:p>
        </w:tc>
        <w:tc>
          <w:tcPr>
            <w:tcW w:w="892" w:type="dxa"/>
            <w:noWrap w:val="0"/>
            <w:vAlign w:val="center"/>
          </w:tcPr>
          <w:p w14:paraId="7DA01F06">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default" w:ascii="Times New Roman" w:hAnsi="Times New Roman" w:eastAsia="方正仿宋_GBK" w:cs="Times New Roman"/>
                <w:color w:val="auto"/>
                <w:kern w:val="0"/>
                <w:sz w:val="20"/>
                <w:szCs w:val="20"/>
                <w:lang w:val="en-US" w:eastAsia="zh-CN" w:bidi="ar-SA"/>
              </w:rPr>
            </w:pPr>
          </w:p>
        </w:tc>
      </w:tr>
      <w:tr w14:paraId="6B44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1" w:hRule="atLeast"/>
          <w:jc w:val="center"/>
        </w:trPr>
        <w:tc>
          <w:tcPr>
            <w:tcW w:w="495" w:type="dxa"/>
            <w:noWrap w:val="0"/>
            <w:vAlign w:val="center"/>
          </w:tcPr>
          <w:p w14:paraId="0BF68BD9">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bidi="ar-SA"/>
              </w:rPr>
            </w:pPr>
            <w:r>
              <w:rPr>
                <w:rFonts w:hint="eastAsia" w:ascii="Times New Roman" w:hAnsi="Times New Roman" w:eastAsia="方正仿宋_GBK" w:cs="Times New Roman"/>
                <w:color w:val="auto"/>
                <w:kern w:val="0"/>
                <w:sz w:val="22"/>
                <w:szCs w:val="22"/>
                <w:lang w:val="en-US" w:eastAsia="zh-CN" w:bidi="ar-SA"/>
              </w:rPr>
              <w:t>6</w:t>
            </w:r>
          </w:p>
        </w:tc>
        <w:tc>
          <w:tcPr>
            <w:tcW w:w="1311" w:type="dxa"/>
            <w:vMerge w:val="continue"/>
            <w:noWrap w:val="0"/>
            <w:vAlign w:val="center"/>
          </w:tcPr>
          <w:p w14:paraId="02454807">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1325" w:type="dxa"/>
            <w:vMerge w:val="continue"/>
            <w:noWrap w:val="0"/>
            <w:vAlign w:val="center"/>
          </w:tcPr>
          <w:p w14:paraId="14DDA22E">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1020" w:type="dxa"/>
            <w:noWrap w:val="0"/>
            <w:vAlign w:val="center"/>
          </w:tcPr>
          <w:p w14:paraId="18C08C76">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财务资产部</w:t>
            </w:r>
          </w:p>
          <w:p w14:paraId="56BC6D91">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部长</w:t>
            </w:r>
          </w:p>
        </w:tc>
        <w:tc>
          <w:tcPr>
            <w:tcW w:w="475" w:type="dxa"/>
            <w:noWrap w:val="0"/>
            <w:vAlign w:val="center"/>
          </w:tcPr>
          <w:p w14:paraId="1111EFF8">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63163789">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工程财务与造价管理、财务管理、财务学</w:t>
            </w:r>
          </w:p>
        </w:tc>
        <w:tc>
          <w:tcPr>
            <w:tcW w:w="3040" w:type="dxa"/>
            <w:noWrap w:val="0"/>
            <w:vAlign w:val="center"/>
          </w:tcPr>
          <w:p w14:paraId="00F24058">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327F8ABF">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10C10B90">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243D2829">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r>
              <w:rPr>
                <w:rFonts w:hint="default" w:ascii="Times New Roman" w:hAnsi="Times New Roman" w:eastAsia="方正仿宋_GBK" w:cs="Times New Roman"/>
                <w:color w:val="auto"/>
                <w:kern w:val="0"/>
                <w:sz w:val="20"/>
                <w:szCs w:val="20"/>
                <w:lang w:val="en-US" w:eastAsia="zh-CN"/>
              </w:rPr>
              <w:t>精通财务报表编制与分析、成本核算与控制、预算管理等财务技能，熟悉国家财务、税务、审计等相关法律法规和政策</w:t>
            </w:r>
            <w:r>
              <w:rPr>
                <w:rFonts w:hint="eastAsia" w:ascii="Times New Roman" w:hAnsi="Times New Roman" w:eastAsia="方正仿宋_GBK" w:cs="Times New Roman"/>
                <w:color w:val="auto"/>
                <w:kern w:val="0"/>
                <w:sz w:val="20"/>
                <w:szCs w:val="20"/>
                <w:lang w:val="en-US" w:eastAsia="zh-CN"/>
              </w:rPr>
              <w:t>；</w:t>
            </w:r>
          </w:p>
          <w:p w14:paraId="1AFCD8CA">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2.在财务战略规划、资金管理、资产管理等方面具有丰富的实践经验，熟悉企业财务运作流程；</w:t>
            </w:r>
          </w:p>
          <w:p w14:paraId="1635D76B">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3.善于与内部各部门及外部机构沟通协调，能与业务部门紧密合作，提供财务支持，同时与银行、税务机关、审计机构等保持良好的合作关系；</w:t>
            </w:r>
          </w:p>
          <w:p w14:paraId="11EDEE1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4.同等条件下，持有注册会计师、高级会计师等专业资格证书者优先。</w:t>
            </w:r>
          </w:p>
        </w:tc>
        <w:tc>
          <w:tcPr>
            <w:tcW w:w="1150" w:type="dxa"/>
            <w:noWrap w:val="0"/>
            <w:vAlign w:val="center"/>
          </w:tcPr>
          <w:p w14:paraId="0D13684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协议工资制10000-15500元/月</w:t>
            </w:r>
          </w:p>
        </w:tc>
        <w:tc>
          <w:tcPr>
            <w:tcW w:w="892" w:type="dxa"/>
            <w:noWrap w:val="0"/>
            <w:vAlign w:val="center"/>
          </w:tcPr>
          <w:p w14:paraId="2C804819">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r>
      <w:tr w14:paraId="10E0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8" w:hRule="atLeast"/>
          <w:jc w:val="center"/>
        </w:trPr>
        <w:tc>
          <w:tcPr>
            <w:tcW w:w="495" w:type="dxa"/>
            <w:noWrap w:val="0"/>
            <w:vAlign w:val="center"/>
          </w:tcPr>
          <w:p w14:paraId="35C76C09">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eastAsia" w:ascii="Times New Roman" w:hAnsi="Times New Roman" w:eastAsia="方正仿宋_GBK" w:cs="Times New Roman"/>
                <w:color w:val="auto"/>
                <w:kern w:val="0"/>
                <w:sz w:val="22"/>
                <w:szCs w:val="22"/>
                <w:lang w:val="en-US" w:eastAsia="zh-CN" w:bidi="ar-SA"/>
              </w:rPr>
            </w:pPr>
            <w:r>
              <w:rPr>
                <w:rFonts w:hint="eastAsia" w:ascii="Times New Roman" w:hAnsi="Times New Roman" w:eastAsia="方正仿宋_GBK" w:cs="Times New Roman"/>
                <w:color w:val="auto"/>
                <w:kern w:val="0"/>
                <w:sz w:val="22"/>
                <w:szCs w:val="22"/>
                <w:lang w:val="en-US" w:eastAsia="zh-CN" w:bidi="ar-SA"/>
              </w:rPr>
              <w:t>7</w:t>
            </w:r>
          </w:p>
        </w:tc>
        <w:tc>
          <w:tcPr>
            <w:tcW w:w="1311" w:type="dxa"/>
            <w:vMerge w:val="restart"/>
            <w:noWrap w:val="0"/>
            <w:vAlign w:val="center"/>
          </w:tcPr>
          <w:p w14:paraId="45FE27E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both"/>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岳池发展建设集团有限公司</w:t>
            </w:r>
          </w:p>
        </w:tc>
        <w:tc>
          <w:tcPr>
            <w:tcW w:w="1325" w:type="dxa"/>
            <w:vMerge w:val="restart"/>
            <w:noWrap w:val="0"/>
            <w:vAlign w:val="center"/>
          </w:tcPr>
          <w:p w14:paraId="69F99A6E">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郑老师</w:t>
            </w:r>
          </w:p>
          <w:p w14:paraId="17055FC8">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0826-5890208</w:t>
            </w:r>
          </w:p>
        </w:tc>
        <w:tc>
          <w:tcPr>
            <w:tcW w:w="1020" w:type="dxa"/>
            <w:noWrap w:val="0"/>
            <w:vAlign w:val="center"/>
          </w:tcPr>
          <w:p w14:paraId="7D0971B5">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方正仿宋_GBK"/>
                <w:color w:val="auto"/>
                <w:kern w:val="0"/>
                <w:sz w:val="20"/>
                <w:szCs w:val="20"/>
                <w:highlight w:val="none"/>
                <w:lang w:val="en-US" w:eastAsia="zh-CN" w:bidi="ar-SA"/>
              </w:rPr>
            </w:pPr>
            <w:r>
              <w:rPr>
                <w:rFonts w:hint="eastAsia" w:ascii="Times New Roman" w:hAnsi="Times New Roman" w:eastAsia="方正仿宋_GBK" w:cs="方正仿宋_GBK"/>
                <w:color w:val="auto"/>
                <w:kern w:val="0"/>
                <w:sz w:val="20"/>
                <w:szCs w:val="20"/>
                <w:highlight w:val="none"/>
                <w:lang w:val="en-US" w:eastAsia="zh-CN" w:bidi="ar-SA"/>
              </w:rPr>
              <w:t>环保安全部副部长</w:t>
            </w:r>
          </w:p>
        </w:tc>
        <w:tc>
          <w:tcPr>
            <w:tcW w:w="475" w:type="dxa"/>
            <w:noWrap w:val="0"/>
            <w:vAlign w:val="center"/>
          </w:tcPr>
          <w:p w14:paraId="43CAF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center"/>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51C24F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0" w:lineRule="exact"/>
              <w:ind w:left="0" w:leftChars="0" w:right="0" w:rightChars="0"/>
              <w:jc w:val="both"/>
              <w:textAlignment w:val="auto"/>
              <w:rPr>
                <w:rFonts w:hint="eastAsia" w:ascii="Times New Roman" w:hAnsi="Times New Roman" w:eastAsia="宋体"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环保装备及工程、安全工程、环境工程、环境科学</w:t>
            </w:r>
          </w:p>
        </w:tc>
        <w:tc>
          <w:tcPr>
            <w:tcW w:w="3040" w:type="dxa"/>
            <w:noWrap w:val="0"/>
            <w:vAlign w:val="center"/>
          </w:tcPr>
          <w:p w14:paraId="7F36A61E">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33658895">
            <w:pPr>
              <w:keepNext w:val="0"/>
              <w:keepLines w:val="0"/>
              <w:pageBreakBefore w:val="0"/>
              <w:widowControl w:val="0"/>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743F35C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center"/>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7FD5702A">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1.掌握安全生产管理知识，如安全法规、安全标准、安全风险评估、事故应急处理等，能制定和实施安全管理制度与措施；</w:t>
            </w:r>
          </w:p>
          <w:p w14:paraId="220D1861">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2.熟悉国家和地方环保、安全相关法律法规、政策标准，能确保公司相关工作合规运营；</w:t>
            </w:r>
          </w:p>
          <w:p w14:paraId="26EB411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3.能够组织开展环保安全检查、培训、应急演练等活动，协调各部门之间的工作，推动环保安全措施的落实；</w:t>
            </w:r>
          </w:p>
          <w:p w14:paraId="6B8922D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0" w:leftChars="0" w:firstLine="0" w:firstLineChars="0"/>
              <w:jc w:val="both"/>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4.同等条件下，持有注册安全工程师、注册环保工程师等专业资格证书者优先。</w:t>
            </w:r>
          </w:p>
        </w:tc>
        <w:tc>
          <w:tcPr>
            <w:tcW w:w="1150" w:type="dxa"/>
            <w:noWrap w:val="0"/>
            <w:vAlign w:val="center"/>
          </w:tcPr>
          <w:p w14:paraId="5D2BE50C">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eastAsia"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rPr>
              <w:t>协议工资制</w:t>
            </w:r>
            <w:r>
              <w:rPr>
                <w:rFonts w:hint="eastAsia" w:ascii="Times New Roman" w:hAnsi="Times New Roman" w:eastAsia="方正仿宋_GBK" w:cs="Times New Roman"/>
                <w:color w:val="auto"/>
                <w:kern w:val="0"/>
                <w:sz w:val="20"/>
                <w:szCs w:val="20"/>
                <w:lang w:val="en-US" w:eastAsia="zh-CN" w:bidi="ar-SA"/>
              </w:rPr>
              <w:t>7900</w:t>
            </w:r>
            <w:r>
              <w:rPr>
                <w:rFonts w:hint="eastAsia" w:ascii="Times New Roman" w:hAnsi="Times New Roman" w:eastAsia="方正仿宋_GBK" w:cs="Times New Roman"/>
                <w:color w:val="auto"/>
                <w:kern w:val="0"/>
                <w:sz w:val="20"/>
                <w:szCs w:val="20"/>
                <w:lang w:val="en-US" w:eastAsia="zh-CN"/>
              </w:rPr>
              <w:t>-11200元/月</w:t>
            </w:r>
          </w:p>
        </w:tc>
        <w:tc>
          <w:tcPr>
            <w:tcW w:w="892" w:type="dxa"/>
            <w:noWrap w:val="0"/>
            <w:vAlign w:val="center"/>
          </w:tcPr>
          <w:p w14:paraId="3F935B3C">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r>
      <w:tr w14:paraId="4B24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1" w:hRule="atLeast"/>
          <w:jc w:val="center"/>
        </w:trPr>
        <w:tc>
          <w:tcPr>
            <w:tcW w:w="495" w:type="dxa"/>
            <w:noWrap w:val="0"/>
            <w:vAlign w:val="center"/>
          </w:tcPr>
          <w:p w14:paraId="58F16F54">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bidi="ar-SA"/>
              </w:rPr>
            </w:pPr>
            <w:r>
              <w:rPr>
                <w:rFonts w:hint="eastAsia" w:ascii="Times New Roman" w:hAnsi="Times New Roman" w:eastAsia="方正仿宋_GBK" w:cs="Times New Roman"/>
                <w:color w:val="auto"/>
                <w:kern w:val="0"/>
                <w:sz w:val="22"/>
                <w:szCs w:val="22"/>
                <w:lang w:val="en-US" w:eastAsia="zh-CN" w:bidi="ar-SA"/>
              </w:rPr>
              <w:t>8</w:t>
            </w:r>
          </w:p>
        </w:tc>
        <w:tc>
          <w:tcPr>
            <w:tcW w:w="1311" w:type="dxa"/>
            <w:vMerge w:val="continue"/>
            <w:noWrap w:val="0"/>
            <w:vAlign w:val="center"/>
          </w:tcPr>
          <w:p w14:paraId="48B9F1EA">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p>
        </w:tc>
        <w:tc>
          <w:tcPr>
            <w:tcW w:w="1325" w:type="dxa"/>
            <w:vMerge w:val="continue"/>
            <w:noWrap w:val="0"/>
            <w:vAlign w:val="center"/>
          </w:tcPr>
          <w:p w14:paraId="362BC96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p>
        </w:tc>
        <w:tc>
          <w:tcPr>
            <w:tcW w:w="1020" w:type="dxa"/>
            <w:noWrap w:val="0"/>
            <w:vAlign w:val="center"/>
          </w:tcPr>
          <w:p w14:paraId="16BA4299">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工程管理部</w:t>
            </w:r>
          </w:p>
          <w:p w14:paraId="45D3C286">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高级主管</w:t>
            </w:r>
          </w:p>
        </w:tc>
        <w:tc>
          <w:tcPr>
            <w:tcW w:w="475" w:type="dxa"/>
            <w:noWrap w:val="0"/>
            <w:vAlign w:val="center"/>
          </w:tcPr>
          <w:p w14:paraId="615BE4AE">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18895443">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建筑学、土木工程、土木工程建造与管理、土木工程规划与管理、工程管理、建设工程管理</w:t>
            </w:r>
          </w:p>
        </w:tc>
        <w:tc>
          <w:tcPr>
            <w:tcW w:w="3040" w:type="dxa"/>
            <w:noWrap w:val="0"/>
            <w:vAlign w:val="center"/>
          </w:tcPr>
          <w:p w14:paraId="0B37816E">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58CD5206">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06198EF8">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08E4AC4C">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1.精通工程建设全流程，包括项目规划、设计、施工、验收等各个环节，熟悉工程力学、结构设计、建筑材料等专业技术知识；</w:t>
            </w:r>
          </w:p>
          <w:p w14:paraId="01AB7037">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2.熟练掌握项目管理的知识和方法，如项目范围管理、时间管理、成本管理、质量管理等，能够运用专业软件进行项目管理和分析；</w:t>
            </w:r>
          </w:p>
          <w:p w14:paraId="2EDBD218">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3.善于与公司内部各部门、外部合作伙伴及政府相关部门进行沟通协调，建立良好的合作关系，推动工程项目顺利进行；</w:t>
            </w:r>
          </w:p>
          <w:p w14:paraId="354B74E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4.同等条件下，持有建造师、工程师等专业资格证书者优先。</w:t>
            </w:r>
          </w:p>
        </w:tc>
        <w:tc>
          <w:tcPr>
            <w:tcW w:w="1150" w:type="dxa"/>
            <w:noWrap w:val="0"/>
            <w:vAlign w:val="center"/>
          </w:tcPr>
          <w:p w14:paraId="569CB3D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协议工资制8600-11900元/月</w:t>
            </w:r>
          </w:p>
        </w:tc>
        <w:tc>
          <w:tcPr>
            <w:tcW w:w="892" w:type="dxa"/>
            <w:noWrap w:val="0"/>
            <w:vAlign w:val="center"/>
          </w:tcPr>
          <w:p w14:paraId="7FB233C5">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p>
        </w:tc>
      </w:tr>
      <w:tr w14:paraId="3888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jc w:val="center"/>
        </w:trPr>
        <w:tc>
          <w:tcPr>
            <w:tcW w:w="495" w:type="dxa"/>
            <w:noWrap w:val="0"/>
            <w:vAlign w:val="center"/>
          </w:tcPr>
          <w:p w14:paraId="59A74F3E">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bidi="ar-SA"/>
              </w:rPr>
            </w:pPr>
            <w:bookmarkStart w:id="0" w:name="_GoBack"/>
            <w:bookmarkEnd w:id="0"/>
            <w:r>
              <w:rPr>
                <w:rFonts w:hint="eastAsia" w:ascii="Times New Roman" w:hAnsi="Times New Roman" w:eastAsia="方正仿宋_GBK" w:cs="Times New Roman"/>
                <w:color w:val="auto"/>
                <w:kern w:val="0"/>
                <w:sz w:val="22"/>
                <w:szCs w:val="22"/>
                <w:lang w:val="en-US" w:eastAsia="zh-CN" w:bidi="ar-SA"/>
              </w:rPr>
              <w:t>9</w:t>
            </w:r>
          </w:p>
        </w:tc>
        <w:tc>
          <w:tcPr>
            <w:tcW w:w="1311" w:type="dxa"/>
            <w:vMerge w:val="restart"/>
            <w:noWrap w:val="0"/>
            <w:vAlign w:val="center"/>
          </w:tcPr>
          <w:p w14:paraId="450884B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岳池发展建设集团有限公司</w:t>
            </w:r>
          </w:p>
        </w:tc>
        <w:tc>
          <w:tcPr>
            <w:tcW w:w="1325" w:type="dxa"/>
            <w:vMerge w:val="restart"/>
            <w:noWrap w:val="0"/>
            <w:vAlign w:val="center"/>
          </w:tcPr>
          <w:p w14:paraId="7FC49D2B">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郑老师</w:t>
            </w:r>
          </w:p>
          <w:p w14:paraId="02A42558">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0826-5890208</w:t>
            </w:r>
          </w:p>
        </w:tc>
        <w:tc>
          <w:tcPr>
            <w:tcW w:w="1020" w:type="dxa"/>
            <w:noWrap w:val="0"/>
            <w:vAlign w:val="center"/>
          </w:tcPr>
          <w:p w14:paraId="6038F3EE">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战略发展部投融资高级主管</w:t>
            </w:r>
          </w:p>
        </w:tc>
        <w:tc>
          <w:tcPr>
            <w:tcW w:w="475" w:type="dxa"/>
            <w:noWrap w:val="0"/>
            <w:vAlign w:val="center"/>
          </w:tcPr>
          <w:p w14:paraId="4B3E31A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586E046C">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金融学、金融工程、金融工程学、政治经济学、投资经济学、投资学</w:t>
            </w:r>
          </w:p>
        </w:tc>
        <w:tc>
          <w:tcPr>
            <w:tcW w:w="3040" w:type="dxa"/>
            <w:noWrap w:val="0"/>
            <w:vAlign w:val="center"/>
          </w:tcPr>
          <w:p w14:paraId="2D52891B">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5EE45F9B">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003A7410">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7190733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r>
              <w:rPr>
                <w:rFonts w:hint="default" w:ascii="Times New Roman" w:hAnsi="Times New Roman" w:eastAsia="方正仿宋_GBK" w:cs="Times New Roman"/>
                <w:color w:val="auto"/>
                <w:kern w:val="0"/>
                <w:sz w:val="20"/>
                <w:szCs w:val="20"/>
                <w:lang w:val="en-US" w:eastAsia="zh-CN"/>
              </w:rPr>
              <w:t>精通投资、融资、风险管理、财务分析等金融专业知识，熟悉国内外金融市场和相关法律法规</w:t>
            </w:r>
            <w:r>
              <w:rPr>
                <w:rFonts w:hint="eastAsia" w:ascii="Times New Roman" w:hAnsi="Times New Roman" w:eastAsia="方正仿宋_GBK" w:cs="Times New Roman"/>
                <w:color w:val="auto"/>
                <w:kern w:val="0"/>
                <w:sz w:val="20"/>
                <w:szCs w:val="20"/>
                <w:lang w:val="en-US" w:eastAsia="zh-CN"/>
              </w:rPr>
              <w:t>；</w:t>
            </w:r>
          </w:p>
          <w:p w14:paraId="5370749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2.能够站在公司战略高度，分析市场趋势和行业动态，为公司制定投融资战略提供建议和支持；</w:t>
            </w:r>
          </w:p>
          <w:p w14:paraId="6F9DCD84">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3.能够准确识别和评估投融资项目中的各种风险，制定合理的风险控制措施，确保公司资金安全；</w:t>
            </w:r>
          </w:p>
          <w:p w14:paraId="5FCDE759">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4.善于与公司内部各部门协作，共同推进投融资项目的实施，同时能够带领团队完成各项工作任务。</w:t>
            </w:r>
          </w:p>
        </w:tc>
        <w:tc>
          <w:tcPr>
            <w:tcW w:w="1150" w:type="dxa"/>
            <w:noWrap w:val="0"/>
            <w:vAlign w:val="center"/>
          </w:tcPr>
          <w:p w14:paraId="1DF8795C">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协议工资制8600-11900元/月</w:t>
            </w:r>
          </w:p>
        </w:tc>
        <w:tc>
          <w:tcPr>
            <w:tcW w:w="892" w:type="dxa"/>
            <w:noWrap w:val="0"/>
            <w:vAlign w:val="center"/>
          </w:tcPr>
          <w:p w14:paraId="3AAA5761">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p>
        </w:tc>
      </w:tr>
      <w:tr w14:paraId="6B36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jc w:val="center"/>
        </w:trPr>
        <w:tc>
          <w:tcPr>
            <w:tcW w:w="495" w:type="dxa"/>
            <w:noWrap w:val="0"/>
            <w:vAlign w:val="center"/>
          </w:tcPr>
          <w:p w14:paraId="2F84D307">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2"/>
                <w:szCs w:val="22"/>
                <w:lang w:val="en-US" w:eastAsia="zh-CN" w:bidi="ar-SA"/>
              </w:rPr>
            </w:pPr>
            <w:r>
              <w:rPr>
                <w:rFonts w:hint="eastAsia" w:ascii="Times New Roman" w:hAnsi="Times New Roman" w:eastAsia="方正仿宋_GBK" w:cs="Times New Roman"/>
                <w:color w:val="auto"/>
                <w:kern w:val="0"/>
                <w:sz w:val="22"/>
                <w:szCs w:val="22"/>
                <w:lang w:val="en-US" w:eastAsia="zh-CN" w:bidi="ar-SA"/>
              </w:rPr>
              <w:t>10</w:t>
            </w:r>
          </w:p>
        </w:tc>
        <w:tc>
          <w:tcPr>
            <w:tcW w:w="1311" w:type="dxa"/>
            <w:vMerge w:val="continue"/>
            <w:noWrap w:val="0"/>
            <w:vAlign w:val="center"/>
          </w:tcPr>
          <w:p w14:paraId="38BB746C">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p>
        </w:tc>
        <w:tc>
          <w:tcPr>
            <w:tcW w:w="1325" w:type="dxa"/>
            <w:vMerge w:val="continue"/>
            <w:noWrap w:val="0"/>
            <w:vAlign w:val="center"/>
          </w:tcPr>
          <w:p w14:paraId="7E912E7F">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default" w:ascii="Times New Roman" w:hAnsi="Times New Roman" w:eastAsia="方正仿宋_GBK" w:cs="Times New Roman"/>
                <w:color w:val="auto"/>
                <w:kern w:val="0"/>
                <w:sz w:val="20"/>
                <w:szCs w:val="20"/>
                <w:lang w:val="en-US" w:eastAsia="zh-CN"/>
              </w:rPr>
            </w:pPr>
          </w:p>
        </w:tc>
        <w:tc>
          <w:tcPr>
            <w:tcW w:w="1020" w:type="dxa"/>
            <w:noWrap w:val="0"/>
            <w:vAlign w:val="center"/>
          </w:tcPr>
          <w:p w14:paraId="2EDF9E06">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广安康润环保科技有限公司副总经理</w:t>
            </w:r>
          </w:p>
        </w:tc>
        <w:tc>
          <w:tcPr>
            <w:tcW w:w="475" w:type="dxa"/>
            <w:noWrap w:val="0"/>
            <w:vAlign w:val="center"/>
          </w:tcPr>
          <w:p w14:paraId="5B4624DC">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p>
        </w:tc>
        <w:tc>
          <w:tcPr>
            <w:tcW w:w="2229" w:type="dxa"/>
            <w:noWrap w:val="0"/>
            <w:vAlign w:val="center"/>
          </w:tcPr>
          <w:p w14:paraId="3759BDCE">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left"/>
              <w:textAlignment w:val="auto"/>
              <w:rPr>
                <w:rFonts w:hint="eastAsia"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b w:val="0"/>
                <w:bCs w:val="0"/>
                <w:i w:val="0"/>
                <w:iCs w:val="0"/>
                <w:color w:val="auto"/>
                <w:kern w:val="0"/>
                <w:sz w:val="22"/>
                <w:szCs w:val="22"/>
                <w:highlight w:val="none"/>
                <w:vertAlign w:val="baseline"/>
                <w:lang w:val="en-US" w:eastAsia="zh-CN" w:bidi="ar-SA"/>
              </w:rPr>
              <w:t>环境科学与工程类</w:t>
            </w:r>
          </w:p>
        </w:tc>
        <w:tc>
          <w:tcPr>
            <w:tcW w:w="3040" w:type="dxa"/>
            <w:noWrap w:val="0"/>
            <w:vAlign w:val="center"/>
          </w:tcPr>
          <w:p w14:paraId="6019CD32">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1.全日制硕士研究生及以上学历，且须取得高校全日制本科相关专业学历学位。</w:t>
            </w:r>
          </w:p>
          <w:p w14:paraId="3CD23710">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2.国（境）外高校毕业生须取得教育部学历认证的全日制硕士研究生及以上学历，且须取得高校全日制本科相关专业学历学位。</w:t>
            </w:r>
          </w:p>
        </w:tc>
        <w:tc>
          <w:tcPr>
            <w:tcW w:w="793" w:type="dxa"/>
            <w:noWrap w:val="0"/>
            <w:vAlign w:val="center"/>
          </w:tcPr>
          <w:p w14:paraId="7C8C9A8A">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硕士及以上</w:t>
            </w:r>
          </w:p>
        </w:tc>
        <w:tc>
          <w:tcPr>
            <w:tcW w:w="3300" w:type="dxa"/>
            <w:noWrap w:val="0"/>
            <w:vAlign w:val="center"/>
          </w:tcPr>
          <w:p w14:paraId="16A9513B">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1.</w:t>
            </w:r>
            <w:r>
              <w:rPr>
                <w:rFonts w:hint="default" w:ascii="Times New Roman" w:hAnsi="Times New Roman" w:eastAsia="方正仿宋_GBK" w:cs="Times New Roman"/>
                <w:color w:val="auto"/>
                <w:kern w:val="0"/>
                <w:sz w:val="20"/>
                <w:szCs w:val="20"/>
                <w:lang w:val="en-US" w:eastAsia="zh-CN"/>
              </w:rPr>
              <w:t>熟悉污水处理工艺、设备运行原理，掌握污水水质检测与分析方法，了解相关环保政策法规和行业标准</w:t>
            </w:r>
            <w:r>
              <w:rPr>
                <w:rFonts w:hint="eastAsia" w:ascii="Times New Roman" w:hAnsi="Times New Roman" w:eastAsia="方正仿宋_GBK" w:cs="Times New Roman"/>
                <w:color w:val="auto"/>
                <w:kern w:val="0"/>
                <w:sz w:val="20"/>
                <w:szCs w:val="20"/>
                <w:lang w:val="en-US" w:eastAsia="zh-CN"/>
              </w:rPr>
              <w:t>；</w:t>
            </w:r>
          </w:p>
          <w:p w14:paraId="3AC54846">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2.掌握企业管理、运营管理、财务管理等方面的知识，能制定和执行公司战略规划、运营计划；</w:t>
            </w:r>
          </w:p>
          <w:p w14:paraId="6BC6E7EF">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3.善于与政府部门、合作伙伴、客户等进行沟通协调，建立良好的合作关系，推动公司业务发展；</w:t>
            </w:r>
          </w:p>
          <w:p w14:paraId="3888B7A6">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4.对污水处理工作高度负责，确保公司的污水处理设施稳定运行，达标排放，保护环境。</w:t>
            </w:r>
          </w:p>
        </w:tc>
        <w:tc>
          <w:tcPr>
            <w:tcW w:w="1150" w:type="dxa"/>
            <w:noWrap w:val="0"/>
            <w:vAlign w:val="center"/>
          </w:tcPr>
          <w:p w14:paraId="1C0BBC73">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协议工资制7900-11200元/月</w:t>
            </w:r>
          </w:p>
        </w:tc>
        <w:tc>
          <w:tcPr>
            <w:tcW w:w="892" w:type="dxa"/>
            <w:noWrap w:val="0"/>
            <w:vAlign w:val="center"/>
          </w:tcPr>
          <w:p w14:paraId="2746D80C">
            <w:pPr>
              <w:keepNext w:val="0"/>
              <w:keepLines w:val="0"/>
              <w:pageBreakBefore w:val="0"/>
              <w:widowControl w:val="0"/>
              <w:numPr>
                <w:ilvl w:val="0"/>
                <w:numId w:val="0"/>
              </w:numPr>
              <w:kinsoku/>
              <w:wordWrap/>
              <w:overflowPunct/>
              <w:topLinePunct w:val="0"/>
              <w:autoSpaceDE/>
              <w:autoSpaceDN/>
              <w:bidi w:val="0"/>
              <w:adjustRightInd w:val="0"/>
              <w:snapToGrid w:val="0"/>
              <w:spacing w:after="0" w:line="220" w:lineRule="exact"/>
              <w:ind w:leftChars="0"/>
              <w:jc w:val="both"/>
              <w:textAlignment w:val="auto"/>
              <w:rPr>
                <w:rFonts w:hint="default" w:ascii="Times New Roman" w:hAnsi="Times New Roman" w:eastAsia="方正仿宋_GBK" w:cs="Times New Roman"/>
                <w:color w:val="auto"/>
                <w:kern w:val="0"/>
                <w:sz w:val="20"/>
                <w:szCs w:val="20"/>
                <w:lang w:val="en-US" w:eastAsia="zh-CN"/>
              </w:rPr>
            </w:pPr>
          </w:p>
        </w:tc>
      </w:tr>
      <w:tr w14:paraId="387A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495" w:type="dxa"/>
            <w:noWrap w:val="0"/>
            <w:vAlign w:val="center"/>
          </w:tcPr>
          <w:p w14:paraId="18C02FEB">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rPr>
              <w:t>合计</w:t>
            </w:r>
          </w:p>
        </w:tc>
        <w:tc>
          <w:tcPr>
            <w:tcW w:w="1311" w:type="dxa"/>
            <w:noWrap w:val="0"/>
            <w:vAlign w:val="center"/>
          </w:tcPr>
          <w:p w14:paraId="6F0F1C4E">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1325" w:type="dxa"/>
            <w:noWrap w:val="0"/>
            <w:vAlign w:val="center"/>
          </w:tcPr>
          <w:p w14:paraId="5123196F">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1020" w:type="dxa"/>
            <w:noWrap w:val="0"/>
            <w:vAlign w:val="center"/>
          </w:tcPr>
          <w:p w14:paraId="6E445CCA">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475" w:type="dxa"/>
            <w:noWrap w:val="0"/>
            <w:vAlign w:val="center"/>
          </w:tcPr>
          <w:p w14:paraId="0183AF5C">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r>
              <w:rPr>
                <w:rFonts w:hint="eastAsia" w:ascii="Times New Roman" w:hAnsi="Times New Roman" w:eastAsia="方正仿宋_GBK" w:cs="Times New Roman"/>
                <w:color w:val="auto"/>
                <w:kern w:val="0"/>
                <w:sz w:val="20"/>
                <w:szCs w:val="20"/>
                <w:lang w:val="en-US" w:eastAsia="zh-CN" w:bidi="ar-SA"/>
              </w:rPr>
              <w:t>10</w:t>
            </w:r>
          </w:p>
        </w:tc>
        <w:tc>
          <w:tcPr>
            <w:tcW w:w="2229" w:type="dxa"/>
            <w:noWrap w:val="0"/>
            <w:vAlign w:val="center"/>
          </w:tcPr>
          <w:p w14:paraId="4E32F430">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3040" w:type="dxa"/>
            <w:noWrap w:val="0"/>
            <w:vAlign w:val="center"/>
          </w:tcPr>
          <w:p w14:paraId="63D63B7B">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793" w:type="dxa"/>
            <w:noWrap w:val="0"/>
            <w:vAlign w:val="center"/>
          </w:tcPr>
          <w:p w14:paraId="6D5A794C">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3300" w:type="dxa"/>
            <w:noWrap w:val="0"/>
            <w:vAlign w:val="center"/>
          </w:tcPr>
          <w:p w14:paraId="70C47C50">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1150" w:type="dxa"/>
            <w:noWrap w:val="0"/>
            <w:vAlign w:val="center"/>
          </w:tcPr>
          <w:p w14:paraId="1844FC32">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c>
          <w:tcPr>
            <w:tcW w:w="892" w:type="dxa"/>
            <w:noWrap w:val="0"/>
            <w:vAlign w:val="center"/>
          </w:tcPr>
          <w:p w14:paraId="1143A954">
            <w:pPr>
              <w:keepNext w:val="0"/>
              <w:keepLines w:val="0"/>
              <w:pageBreakBefore w:val="0"/>
              <w:widowControl w:val="0"/>
              <w:kinsoku/>
              <w:wordWrap/>
              <w:overflowPunct/>
              <w:topLinePunct w:val="0"/>
              <w:autoSpaceDE/>
              <w:autoSpaceDN/>
              <w:bidi w:val="0"/>
              <w:adjustRightInd w:val="0"/>
              <w:snapToGrid w:val="0"/>
              <w:spacing w:after="0" w:line="220" w:lineRule="exact"/>
              <w:jc w:val="center"/>
              <w:textAlignment w:val="auto"/>
              <w:rPr>
                <w:rFonts w:hint="default" w:ascii="Times New Roman" w:hAnsi="Times New Roman" w:eastAsia="方正仿宋_GBK" w:cs="Times New Roman"/>
                <w:color w:val="auto"/>
                <w:kern w:val="0"/>
                <w:sz w:val="20"/>
                <w:szCs w:val="20"/>
                <w:lang w:val="en-US" w:eastAsia="zh-CN" w:bidi="ar-SA"/>
              </w:rPr>
            </w:pPr>
          </w:p>
        </w:tc>
      </w:tr>
    </w:tbl>
    <w:p w14:paraId="2E52C4F6">
      <w:pPr>
        <w:widowControl/>
        <w:adjustRightInd w:val="0"/>
        <w:snapToGrid w:val="0"/>
        <w:spacing w:after="120" w:line="20" w:lineRule="exact"/>
        <w:jc w:val="left"/>
        <w:rPr>
          <w:rFonts w:hint="eastAsia" w:ascii="Times New Roman" w:hAnsi="Times New Roman" w:eastAsia="方正小标宋_GBK" w:cs="方正小标宋_GBK"/>
          <w:color w:val="auto"/>
          <w:kern w:val="0"/>
          <w:sz w:val="33"/>
          <w:szCs w:val="33"/>
          <w:lang w:val="en-US" w:eastAsia="zh-CN"/>
        </w:rPr>
      </w:pPr>
    </w:p>
    <w:p w14:paraId="4F9505C9">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4D98">
    <w:pPr>
      <w:keepNext w:val="0"/>
      <w:keepLines w:val="0"/>
      <w:pageBreakBefore w:val="0"/>
      <w:framePr w:wrap="around" w:vAnchor="text" w:hAnchor="margin" w:xAlign="outside" w:y="1"/>
      <w:widowControl w:val="0"/>
      <w:kinsoku/>
      <w:wordWrap/>
      <w:overflowPunct/>
      <w:topLinePunct w:val="0"/>
      <w:bidi w:val="0"/>
      <w:adjustRightInd/>
      <w:snapToGrid w:val="0"/>
      <w:spacing w:after="0" w:line="240" w:lineRule="auto"/>
      <w:ind w:left="420" w:leftChars="200" w:right="420" w:rightChars="20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PAGE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9</w:t>
    </w:r>
    <w:r>
      <w:rPr>
        <w:rFonts w:hint="default" w:ascii="Times New Roman" w:hAnsi="Times New Roman"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14:paraId="4C5AB3F8">
    <w:pPr>
      <w:keepNext w:val="0"/>
      <w:keepLines w:val="0"/>
      <w:pageBreakBefore w:val="0"/>
      <w:widowControl w:val="0"/>
      <w:kinsoku/>
      <w:wordWrap/>
      <w:overflowPunct/>
      <w:topLinePunct w:val="0"/>
      <w:bidi w:val="0"/>
      <w:adjustRightInd/>
      <w:snapToGrid w:val="0"/>
      <w:spacing w:after="0" w:line="240" w:lineRule="auto"/>
      <w:ind w:left="420" w:leftChars="200" w:right="420" w:rightChars="200"/>
      <w:jc w:val="left"/>
      <w:textAlignment w:val="auto"/>
      <w:rPr>
        <w:rFonts w:hint="eastAsia" w:ascii="Tahoma" w:hAnsi="Tahoma" w:eastAsia="微软雅黑"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CB8D">
    <w:pPr>
      <w:widowControl/>
      <w:pBdr>
        <w:bottom w:val="none" w:color="auto" w:sz="0" w:space="0"/>
      </w:pBdr>
      <w:adjustRightInd w:val="0"/>
      <w:snapToGrid w:val="0"/>
      <w:spacing w:after="200" w:line="240" w:lineRule="auto"/>
      <w:jc w:val="center"/>
      <w:rPr>
        <w:rFonts w:ascii="Tahoma" w:hAnsi="Tahoma" w:eastAsia="微软雅黑" w:cs="Times New Roman"/>
        <w:kern w:val="0"/>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B69CC"/>
    <w:rsid w:val="2BCB407B"/>
    <w:rsid w:val="34BB6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3156</Words>
  <Characters>3369</Characters>
  <Lines>0</Lines>
  <Paragraphs>0</Paragraphs>
  <TotalTime>2</TotalTime>
  <ScaleCrop>false</ScaleCrop>
  <LinksUpToDate>false</LinksUpToDate>
  <CharactersWithSpaces>3370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2025-09-04T02:34:00Z</dcterms:created>
  <dc:creator>默欣</dc:creator>
  <cp:lastModifiedBy>默欣</cp:lastModifiedBy>
  <dcterms:modified xsi:type="dcterms:W3CDTF">2025-09-09T02:02:25Z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E5945A4EBB5E450BBC2B1315581C4D82_11</vt:lpwstr>
  </property>
  <property fmtid="{D5CDD505-2E9C-101B-9397-08002B2CF9AE}" pid="4" name="KSOTemplateDocerSaveRecord">
    <vt:lpwstr>eyJoZGlkIjoiM2NkZDYyOTNkYjNhM2YzMTY0NDAxOGNmZTRhNDA2OWQiLCJ1c2VySWQiOiIyOTQxNDAyMjcifQ==</vt:lpwstr>
  </property>
</Properties>
</file>