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1E8D7">
      <w:pPr>
        <w:pageBreakBefore w:val="0"/>
        <w:widowControl/>
        <w:kinsoku/>
        <w:wordWrap/>
        <w:overflowPunct/>
        <w:topLinePunct w:val="0"/>
        <w:bidi w:val="0"/>
        <w:adjustRightInd w:val="0"/>
        <w:snapToGrid w:val="0"/>
        <w:spacing w:line="560" w:lineRule="exact"/>
        <w:jc w:val="left"/>
        <w:rPr>
          <w:rFonts w:hint="eastAsia" w:ascii="黑体" w:hAnsi="黑体" w:eastAsia="黑体"/>
          <w:bCs/>
          <w:sz w:val="32"/>
          <w:lang w:eastAsia="zh-CN"/>
        </w:rPr>
      </w:pPr>
      <w:r>
        <w:rPr>
          <w:rFonts w:hint="eastAsia" w:ascii="黑体" w:hAnsi="黑体" w:eastAsia="黑体"/>
          <w:bCs/>
          <w:sz w:val="32"/>
        </w:rPr>
        <w:t>附件</w:t>
      </w:r>
      <w:r>
        <w:rPr>
          <w:rFonts w:hint="eastAsia" w:ascii="黑体" w:hAnsi="黑体" w:eastAsia="黑体"/>
          <w:bCs/>
          <w:sz w:val="32"/>
          <w:lang w:val="en-US" w:eastAsia="zh-CN"/>
        </w:rPr>
        <w:t>3</w:t>
      </w:r>
    </w:p>
    <w:p w14:paraId="0DA103AC">
      <w:pPr>
        <w:pageBreakBefore w:val="0"/>
        <w:kinsoku/>
        <w:wordWrap/>
        <w:overflowPunct/>
        <w:topLinePunct w:val="0"/>
        <w:bidi w:val="0"/>
        <w:spacing w:line="560" w:lineRule="exact"/>
        <w:jc w:val="center"/>
        <w:rPr>
          <w:rFonts w:ascii="仿宋_GB2312" w:hAnsi="仿宋_GB2312" w:eastAsia="仿宋_GB2312" w:cs="仿宋_GB2312"/>
          <w:color w:val="FF0000"/>
          <w:sz w:val="32"/>
          <w:szCs w:val="32"/>
        </w:rPr>
      </w:pPr>
      <w:r>
        <w:rPr>
          <w:rFonts w:hint="eastAsia" w:ascii="方正小标宋_GBK" w:hAnsi="方正小标宋_GBK" w:eastAsia="方正小标宋_GBK" w:cs="方正小标宋_GBK"/>
          <w:sz w:val="44"/>
          <w:szCs w:val="44"/>
          <w:highlight w:val="none"/>
          <w:shd w:val="clear" w:color="auto" w:fill="auto"/>
          <w:lang w:eastAsia="zh-CN"/>
        </w:rPr>
        <w:t>体能测试项目及评分标准</w:t>
      </w:r>
    </w:p>
    <w:tbl>
      <w:tblPr>
        <w:tblStyle w:val="7"/>
        <w:tblW w:w="10119" w:type="dxa"/>
        <w:tblInd w:w="-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825"/>
        <w:gridCol w:w="857"/>
        <w:gridCol w:w="962"/>
        <w:gridCol w:w="962"/>
        <w:gridCol w:w="962"/>
        <w:gridCol w:w="893"/>
        <w:gridCol w:w="911"/>
        <w:gridCol w:w="878"/>
        <w:gridCol w:w="902"/>
        <w:gridCol w:w="814"/>
      </w:tblGrid>
      <w:tr w14:paraId="3CABF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53" w:type="dxa"/>
            <w:vMerge w:val="restart"/>
            <w:noWrap w:val="0"/>
            <w:vAlign w:val="center"/>
          </w:tcPr>
          <w:p w14:paraId="0FD23EA2">
            <w:pPr>
              <w:pStyle w:val="3"/>
              <w:pageBreakBefore w:val="0"/>
              <w:kinsoku/>
              <w:wordWrap/>
              <w:overflowPunct/>
              <w:topLinePunct w:val="0"/>
              <w:bidi w:val="0"/>
              <w:spacing w:line="240" w:lineRule="auto"/>
              <w:jc w:val="center"/>
              <w:rPr>
                <w:rFonts w:ascii="黑体" w:hAnsi="黑体" w:eastAsia="黑体" w:cs="黑体"/>
                <w:sz w:val="21"/>
                <w:szCs w:val="21"/>
              </w:rPr>
            </w:pPr>
            <w:r>
              <w:rPr>
                <w:rFonts w:hint="eastAsia" w:ascii="黑体" w:hAnsi="黑体" w:eastAsia="黑体" w:cs="黑体"/>
                <w:sz w:val="21"/>
                <w:szCs w:val="21"/>
              </w:rPr>
              <w:t>项 目</w:t>
            </w:r>
          </w:p>
        </w:tc>
        <w:tc>
          <w:tcPr>
            <w:tcW w:w="8966" w:type="dxa"/>
            <w:gridSpan w:val="10"/>
            <w:noWrap w:val="0"/>
            <w:vAlign w:val="center"/>
          </w:tcPr>
          <w:p w14:paraId="6D414C72">
            <w:pPr>
              <w:pStyle w:val="3"/>
              <w:pageBreakBefore w:val="0"/>
              <w:kinsoku/>
              <w:wordWrap/>
              <w:overflowPunct/>
              <w:topLinePunct w:val="0"/>
              <w:bidi w:val="0"/>
              <w:spacing w:line="240" w:lineRule="auto"/>
              <w:jc w:val="center"/>
              <w:rPr>
                <w:sz w:val="21"/>
                <w:szCs w:val="21"/>
              </w:rPr>
            </w:pPr>
            <w:r>
              <w:rPr>
                <w:rFonts w:hint="eastAsia" w:ascii="黑体" w:hAnsi="黑体" w:eastAsia="黑体" w:cs="黑体"/>
                <w:sz w:val="28"/>
                <w:szCs w:val="28"/>
              </w:rPr>
              <w:t>测试成绩对应分值、测试办法</w:t>
            </w:r>
          </w:p>
        </w:tc>
      </w:tr>
      <w:tr w14:paraId="1F45A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153" w:type="dxa"/>
            <w:vMerge w:val="continue"/>
            <w:noWrap w:val="0"/>
            <w:vAlign w:val="top"/>
          </w:tcPr>
          <w:p w14:paraId="06651513">
            <w:pPr>
              <w:pStyle w:val="3"/>
              <w:pageBreakBefore w:val="0"/>
              <w:kinsoku/>
              <w:wordWrap/>
              <w:overflowPunct/>
              <w:topLinePunct w:val="0"/>
              <w:bidi w:val="0"/>
              <w:spacing w:line="240" w:lineRule="auto"/>
              <w:jc w:val="center"/>
              <w:rPr>
                <w:rFonts w:ascii="黑体" w:hAnsi="黑体" w:eastAsia="黑体" w:cs="黑体"/>
                <w:sz w:val="21"/>
                <w:szCs w:val="21"/>
              </w:rPr>
            </w:pPr>
          </w:p>
        </w:tc>
        <w:tc>
          <w:tcPr>
            <w:tcW w:w="825" w:type="dxa"/>
            <w:noWrap w:val="0"/>
            <w:vAlign w:val="center"/>
          </w:tcPr>
          <w:p w14:paraId="50F487D1">
            <w:pPr>
              <w:pStyle w:val="3"/>
              <w:pageBreakBefore w:val="0"/>
              <w:kinsoku/>
              <w:wordWrap/>
              <w:overflowPunct/>
              <w:topLinePunct w:val="0"/>
              <w:bidi w:val="0"/>
              <w:spacing w:line="240" w:lineRule="auto"/>
              <w:jc w:val="center"/>
              <w:rPr>
                <w:b/>
                <w:bCs/>
                <w:sz w:val="21"/>
                <w:szCs w:val="21"/>
              </w:rPr>
            </w:pPr>
            <w:r>
              <w:rPr>
                <w:rFonts w:hint="eastAsia"/>
                <w:b/>
                <w:bCs/>
                <w:sz w:val="21"/>
                <w:szCs w:val="21"/>
              </w:rPr>
              <w:t>10分</w:t>
            </w:r>
          </w:p>
        </w:tc>
        <w:tc>
          <w:tcPr>
            <w:tcW w:w="857" w:type="dxa"/>
            <w:noWrap w:val="0"/>
            <w:vAlign w:val="center"/>
          </w:tcPr>
          <w:p w14:paraId="44E75D7F">
            <w:pPr>
              <w:pStyle w:val="3"/>
              <w:pageBreakBefore w:val="0"/>
              <w:kinsoku/>
              <w:wordWrap/>
              <w:overflowPunct/>
              <w:topLinePunct w:val="0"/>
              <w:bidi w:val="0"/>
              <w:spacing w:line="240" w:lineRule="auto"/>
              <w:jc w:val="center"/>
              <w:rPr>
                <w:b/>
                <w:bCs/>
                <w:sz w:val="21"/>
                <w:szCs w:val="21"/>
              </w:rPr>
            </w:pPr>
            <w:r>
              <w:rPr>
                <w:rFonts w:hint="eastAsia"/>
                <w:b/>
                <w:bCs/>
                <w:sz w:val="21"/>
                <w:szCs w:val="21"/>
              </w:rPr>
              <w:t>20分</w:t>
            </w:r>
          </w:p>
        </w:tc>
        <w:tc>
          <w:tcPr>
            <w:tcW w:w="962" w:type="dxa"/>
            <w:noWrap w:val="0"/>
            <w:vAlign w:val="center"/>
          </w:tcPr>
          <w:p w14:paraId="7DA74626">
            <w:pPr>
              <w:pStyle w:val="3"/>
              <w:pageBreakBefore w:val="0"/>
              <w:kinsoku/>
              <w:wordWrap/>
              <w:overflowPunct/>
              <w:topLinePunct w:val="0"/>
              <w:bidi w:val="0"/>
              <w:spacing w:line="240" w:lineRule="auto"/>
              <w:jc w:val="center"/>
              <w:rPr>
                <w:b/>
                <w:bCs/>
                <w:sz w:val="21"/>
                <w:szCs w:val="21"/>
              </w:rPr>
            </w:pPr>
            <w:r>
              <w:rPr>
                <w:rFonts w:hint="eastAsia"/>
                <w:b/>
                <w:bCs/>
                <w:sz w:val="21"/>
                <w:szCs w:val="21"/>
              </w:rPr>
              <w:t>30分</w:t>
            </w:r>
          </w:p>
        </w:tc>
        <w:tc>
          <w:tcPr>
            <w:tcW w:w="962" w:type="dxa"/>
            <w:noWrap w:val="0"/>
            <w:vAlign w:val="center"/>
          </w:tcPr>
          <w:p w14:paraId="7B016096">
            <w:pPr>
              <w:pStyle w:val="3"/>
              <w:pageBreakBefore w:val="0"/>
              <w:kinsoku/>
              <w:wordWrap/>
              <w:overflowPunct/>
              <w:topLinePunct w:val="0"/>
              <w:bidi w:val="0"/>
              <w:spacing w:line="240" w:lineRule="auto"/>
              <w:jc w:val="center"/>
              <w:rPr>
                <w:b/>
                <w:bCs/>
                <w:sz w:val="21"/>
                <w:szCs w:val="21"/>
              </w:rPr>
            </w:pPr>
            <w:r>
              <w:rPr>
                <w:rFonts w:hint="eastAsia"/>
                <w:b/>
                <w:bCs/>
                <w:sz w:val="21"/>
                <w:szCs w:val="21"/>
              </w:rPr>
              <w:t>4</w:t>
            </w:r>
            <w:r>
              <w:rPr>
                <w:b/>
                <w:bCs/>
                <w:sz w:val="21"/>
                <w:szCs w:val="21"/>
              </w:rPr>
              <w:t>0</w:t>
            </w:r>
            <w:r>
              <w:rPr>
                <w:rFonts w:hint="eastAsia"/>
                <w:b/>
                <w:bCs/>
                <w:sz w:val="21"/>
                <w:szCs w:val="21"/>
              </w:rPr>
              <w:t>分</w:t>
            </w:r>
          </w:p>
        </w:tc>
        <w:tc>
          <w:tcPr>
            <w:tcW w:w="962" w:type="dxa"/>
            <w:noWrap w:val="0"/>
            <w:vAlign w:val="center"/>
          </w:tcPr>
          <w:p w14:paraId="16B4E57B">
            <w:pPr>
              <w:pStyle w:val="3"/>
              <w:pageBreakBefore w:val="0"/>
              <w:kinsoku/>
              <w:wordWrap/>
              <w:overflowPunct/>
              <w:topLinePunct w:val="0"/>
              <w:bidi w:val="0"/>
              <w:spacing w:line="240" w:lineRule="auto"/>
              <w:jc w:val="center"/>
              <w:rPr>
                <w:b/>
                <w:bCs/>
                <w:sz w:val="21"/>
                <w:szCs w:val="21"/>
              </w:rPr>
            </w:pPr>
            <w:r>
              <w:rPr>
                <w:rFonts w:hint="eastAsia"/>
                <w:b/>
                <w:bCs/>
                <w:sz w:val="21"/>
                <w:szCs w:val="21"/>
              </w:rPr>
              <w:t>5</w:t>
            </w:r>
            <w:r>
              <w:rPr>
                <w:b/>
                <w:bCs/>
                <w:sz w:val="21"/>
                <w:szCs w:val="21"/>
              </w:rPr>
              <w:t>0</w:t>
            </w:r>
            <w:r>
              <w:rPr>
                <w:rFonts w:hint="eastAsia"/>
                <w:b/>
                <w:bCs/>
                <w:sz w:val="21"/>
                <w:szCs w:val="21"/>
              </w:rPr>
              <w:t>分</w:t>
            </w:r>
          </w:p>
        </w:tc>
        <w:tc>
          <w:tcPr>
            <w:tcW w:w="893" w:type="dxa"/>
            <w:noWrap w:val="0"/>
            <w:vAlign w:val="center"/>
          </w:tcPr>
          <w:p w14:paraId="67177A34">
            <w:pPr>
              <w:pStyle w:val="3"/>
              <w:pageBreakBefore w:val="0"/>
              <w:kinsoku/>
              <w:wordWrap/>
              <w:overflowPunct/>
              <w:topLinePunct w:val="0"/>
              <w:bidi w:val="0"/>
              <w:spacing w:line="240" w:lineRule="auto"/>
              <w:jc w:val="center"/>
              <w:rPr>
                <w:b/>
                <w:bCs/>
                <w:sz w:val="21"/>
                <w:szCs w:val="21"/>
              </w:rPr>
            </w:pPr>
            <w:r>
              <w:rPr>
                <w:rFonts w:hint="eastAsia"/>
                <w:b/>
                <w:bCs/>
                <w:sz w:val="21"/>
                <w:szCs w:val="21"/>
              </w:rPr>
              <w:t>6</w:t>
            </w:r>
            <w:r>
              <w:rPr>
                <w:b/>
                <w:bCs/>
                <w:sz w:val="21"/>
                <w:szCs w:val="21"/>
              </w:rPr>
              <w:t>0</w:t>
            </w:r>
            <w:r>
              <w:rPr>
                <w:rFonts w:hint="eastAsia"/>
                <w:b/>
                <w:bCs/>
                <w:sz w:val="21"/>
                <w:szCs w:val="21"/>
              </w:rPr>
              <w:t>分</w:t>
            </w:r>
          </w:p>
        </w:tc>
        <w:tc>
          <w:tcPr>
            <w:tcW w:w="911" w:type="dxa"/>
            <w:noWrap w:val="0"/>
            <w:vAlign w:val="center"/>
          </w:tcPr>
          <w:p w14:paraId="4D0BD6E8">
            <w:pPr>
              <w:pStyle w:val="3"/>
              <w:pageBreakBefore w:val="0"/>
              <w:kinsoku/>
              <w:wordWrap/>
              <w:overflowPunct/>
              <w:topLinePunct w:val="0"/>
              <w:bidi w:val="0"/>
              <w:spacing w:line="240" w:lineRule="auto"/>
              <w:jc w:val="center"/>
              <w:rPr>
                <w:b/>
                <w:bCs/>
                <w:sz w:val="21"/>
                <w:szCs w:val="21"/>
              </w:rPr>
            </w:pPr>
            <w:r>
              <w:rPr>
                <w:rFonts w:hint="eastAsia"/>
                <w:b/>
                <w:bCs/>
                <w:sz w:val="21"/>
                <w:szCs w:val="21"/>
              </w:rPr>
              <w:t>7</w:t>
            </w:r>
            <w:r>
              <w:rPr>
                <w:b/>
                <w:bCs/>
                <w:sz w:val="21"/>
                <w:szCs w:val="21"/>
              </w:rPr>
              <w:t>0</w:t>
            </w:r>
            <w:r>
              <w:rPr>
                <w:rFonts w:hint="eastAsia"/>
                <w:b/>
                <w:bCs/>
                <w:sz w:val="21"/>
                <w:szCs w:val="21"/>
              </w:rPr>
              <w:t>分</w:t>
            </w:r>
          </w:p>
        </w:tc>
        <w:tc>
          <w:tcPr>
            <w:tcW w:w="878" w:type="dxa"/>
            <w:noWrap w:val="0"/>
            <w:vAlign w:val="center"/>
          </w:tcPr>
          <w:p w14:paraId="5A86E36E">
            <w:pPr>
              <w:pStyle w:val="3"/>
              <w:pageBreakBefore w:val="0"/>
              <w:kinsoku/>
              <w:wordWrap/>
              <w:overflowPunct/>
              <w:topLinePunct w:val="0"/>
              <w:bidi w:val="0"/>
              <w:spacing w:line="240" w:lineRule="auto"/>
              <w:jc w:val="center"/>
              <w:rPr>
                <w:b/>
                <w:bCs/>
                <w:sz w:val="21"/>
                <w:szCs w:val="21"/>
              </w:rPr>
            </w:pPr>
            <w:r>
              <w:rPr>
                <w:rFonts w:hint="eastAsia"/>
                <w:b/>
                <w:bCs/>
                <w:sz w:val="21"/>
                <w:szCs w:val="21"/>
              </w:rPr>
              <w:t>8</w:t>
            </w:r>
            <w:r>
              <w:rPr>
                <w:b/>
                <w:bCs/>
                <w:sz w:val="21"/>
                <w:szCs w:val="21"/>
              </w:rPr>
              <w:t>0</w:t>
            </w:r>
            <w:r>
              <w:rPr>
                <w:rFonts w:hint="eastAsia"/>
                <w:b/>
                <w:bCs/>
                <w:sz w:val="21"/>
                <w:szCs w:val="21"/>
              </w:rPr>
              <w:t>分</w:t>
            </w:r>
          </w:p>
        </w:tc>
        <w:tc>
          <w:tcPr>
            <w:tcW w:w="902" w:type="dxa"/>
            <w:noWrap w:val="0"/>
            <w:vAlign w:val="center"/>
          </w:tcPr>
          <w:p w14:paraId="62296E64">
            <w:pPr>
              <w:pStyle w:val="3"/>
              <w:pageBreakBefore w:val="0"/>
              <w:kinsoku/>
              <w:wordWrap/>
              <w:overflowPunct/>
              <w:topLinePunct w:val="0"/>
              <w:bidi w:val="0"/>
              <w:spacing w:line="240" w:lineRule="auto"/>
              <w:jc w:val="center"/>
              <w:rPr>
                <w:b/>
                <w:bCs/>
                <w:sz w:val="21"/>
                <w:szCs w:val="21"/>
              </w:rPr>
            </w:pPr>
            <w:r>
              <w:rPr>
                <w:rFonts w:hint="eastAsia"/>
                <w:b/>
                <w:bCs/>
                <w:sz w:val="21"/>
                <w:szCs w:val="21"/>
              </w:rPr>
              <w:t>9</w:t>
            </w:r>
            <w:r>
              <w:rPr>
                <w:b/>
                <w:bCs/>
                <w:sz w:val="21"/>
                <w:szCs w:val="21"/>
              </w:rPr>
              <w:t>0</w:t>
            </w:r>
            <w:r>
              <w:rPr>
                <w:rFonts w:hint="eastAsia"/>
                <w:b/>
                <w:bCs/>
                <w:sz w:val="21"/>
                <w:szCs w:val="21"/>
              </w:rPr>
              <w:t>分</w:t>
            </w:r>
          </w:p>
        </w:tc>
        <w:tc>
          <w:tcPr>
            <w:tcW w:w="814" w:type="dxa"/>
            <w:noWrap w:val="0"/>
            <w:vAlign w:val="center"/>
          </w:tcPr>
          <w:p w14:paraId="7876FCC9">
            <w:pPr>
              <w:pStyle w:val="3"/>
              <w:pageBreakBefore w:val="0"/>
              <w:kinsoku/>
              <w:wordWrap/>
              <w:overflowPunct/>
              <w:topLinePunct w:val="0"/>
              <w:bidi w:val="0"/>
              <w:spacing w:line="240" w:lineRule="auto"/>
              <w:jc w:val="center"/>
              <w:rPr>
                <w:b/>
                <w:bCs/>
                <w:sz w:val="21"/>
                <w:szCs w:val="21"/>
              </w:rPr>
            </w:pPr>
            <w:r>
              <w:rPr>
                <w:rFonts w:hint="eastAsia"/>
                <w:b/>
                <w:bCs/>
                <w:sz w:val="21"/>
                <w:szCs w:val="21"/>
              </w:rPr>
              <w:t>10</w:t>
            </w:r>
            <w:r>
              <w:rPr>
                <w:b/>
                <w:bCs/>
                <w:sz w:val="21"/>
                <w:szCs w:val="21"/>
              </w:rPr>
              <w:t>0</w:t>
            </w:r>
            <w:r>
              <w:rPr>
                <w:rFonts w:hint="eastAsia"/>
                <w:b/>
                <w:bCs/>
                <w:sz w:val="21"/>
                <w:szCs w:val="21"/>
              </w:rPr>
              <w:t>分</w:t>
            </w:r>
          </w:p>
        </w:tc>
      </w:tr>
      <w:tr w14:paraId="472A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153" w:type="dxa"/>
            <w:vMerge w:val="restart"/>
            <w:noWrap w:val="0"/>
            <w:vAlign w:val="center"/>
          </w:tcPr>
          <w:p w14:paraId="5B1F7DC1">
            <w:pPr>
              <w:pStyle w:val="3"/>
              <w:pageBreakBefore w:val="0"/>
              <w:kinsoku/>
              <w:wordWrap/>
              <w:overflowPunct/>
              <w:topLinePunct w:val="0"/>
              <w:bidi w:val="0"/>
              <w:spacing w:line="240" w:lineRule="auto"/>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立定跳远</w:t>
            </w:r>
          </w:p>
        </w:tc>
        <w:tc>
          <w:tcPr>
            <w:tcW w:w="825" w:type="dxa"/>
            <w:noWrap w:val="0"/>
            <w:vAlign w:val="center"/>
          </w:tcPr>
          <w:p w14:paraId="67A8B1B3">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2.01</w:t>
            </w:r>
          </w:p>
        </w:tc>
        <w:tc>
          <w:tcPr>
            <w:tcW w:w="857" w:type="dxa"/>
            <w:noWrap w:val="0"/>
            <w:vAlign w:val="center"/>
          </w:tcPr>
          <w:p w14:paraId="59EB5A12">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2.13</w:t>
            </w:r>
          </w:p>
        </w:tc>
        <w:tc>
          <w:tcPr>
            <w:tcW w:w="962" w:type="dxa"/>
            <w:noWrap w:val="0"/>
            <w:vAlign w:val="center"/>
          </w:tcPr>
          <w:p w14:paraId="11B5C9DE">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2.18</w:t>
            </w:r>
          </w:p>
        </w:tc>
        <w:tc>
          <w:tcPr>
            <w:tcW w:w="962" w:type="dxa"/>
            <w:noWrap w:val="0"/>
            <w:vAlign w:val="center"/>
          </w:tcPr>
          <w:p w14:paraId="027DCA90">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2.23</w:t>
            </w:r>
          </w:p>
        </w:tc>
        <w:tc>
          <w:tcPr>
            <w:tcW w:w="962" w:type="dxa"/>
            <w:noWrap w:val="0"/>
            <w:vAlign w:val="center"/>
          </w:tcPr>
          <w:p w14:paraId="3BB91E8F">
            <w:pPr>
              <w:pageBreakBefore w:val="0"/>
              <w:kinsoku/>
              <w:wordWrap/>
              <w:overflowPunct/>
              <w:topLinePunct w:val="0"/>
              <w:bidi w:val="0"/>
              <w:adjustRightInd w:val="0"/>
              <w:snapToGrid w:val="0"/>
              <w:spacing w:line="240" w:lineRule="auto"/>
              <w:ind w:left="22" w:leftChars="-77" w:right="-113" w:rightChars="-54" w:hanging="184" w:hangingChars="77"/>
              <w:jc w:val="center"/>
              <w:textAlignment w:val="center"/>
              <w:rPr>
                <w:sz w:val="21"/>
                <w:szCs w:val="21"/>
                <w:highlight w:val="none"/>
              </w:rPr>
            </w:pPr>
            <w:r>
              <w:rPr>
                <w:rFonts w:ascii="宋体" w:hAnsi="宋体" w:eastAsia="宋体"/>
                <w:kern w:val="0"/>
                <w:sz w:val="24"/>
                <w:szCs w:val="24"/>
                <w:highlight w:val="none"/>
              </w:rPr>
              <w:t>2.28</w:t>
            </w:r>
          </w:p>
        </w:tc>
        <w:tc>
          <w:tcPr>
            <w:tcW w:w="893" w:type="dxa"/>
            <w:noWrap w:val="0"/>
            <w:vAlign w:val="center"/>
          </w:tcPr>
          <w:p w14:paraId="5A65E258">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2.33</w:t>
            </w:r>
          </w:p>
        </w:tc>
        <w:tc>
          <w:tcPr>
            <w:tcW w:w="911" w:type="dxa"/>
            <w:noWrap w:val="0"/>
            <w:vAlign w:val="center"/>
          </w:tcPr>
          <w:p w14:paraId="2980E157">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2.38</w:t>
            </w:r>
          </w:p>
        </w:tc>
        <w:tc>
          <w:tcPr>
            <w:tcW w:w="878" w:type="dxa"/>
            <w:noWrap w:val="0"/>
            <w:vAlign w:val="center"/>
          </w:tcPr>
          <w:p w14:paraId="3F89C182">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2.43</w:t>
            </w:r>
          </w:p>
        </w:tc>
        <w:tc>
          <w:tcPr>
            <w:tcW w:w="902" w:type="dxa"/>
            <w:noWrap w:val="0"/>
            <w:vAlign w:val="center"/>
          </w:tcPr>
          <w:p w14:paraId="74BB26B9">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2.48</w:t>
            </w:r>
          </w:p>
        </w:tc>
        <w:tc>
          <w:tcPr>
            <w:tcW w:w="814" w:type="dxa"/>
            <w:noWrap w:val="0"/>
            <w:vAlign w:val="center"/>
          </w:tcPr>
          <w:p w14:paraId="16FD2EC3">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eastAsia="宋体"/>
                <w:kern w:val="0"/>
                <w:sz w:val="24"/>
                <w:szCs w:val="24"/>
                <w:highlight w:val="none"/>
              </w:rPr>
              <w:t>2.53</w:t>
            </w:r>
          </w:p>
        </w:tc>
      </w:tr>
      <w:tr w14:paraId="6EC5A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153" w:type="dxa"/>
            <w:vMerge w:val="continue"/>
            <w:noWrap w:val="0"/>
            <w:vAlign w:val="center"/>
          </w:tcPr>
          <w:p w14:paraId="42F9E63F">
            <w:pPr>
              <w:pStyle w:val="3"/>
              <w:pageBreakBefore w:val="0"/>
              <w:kinsoku/>
              <w:wordWrap/>
              <w:overflowPunct/>
              <w:topLinePunct w:val="0"/>
              <w:bidi w:val="0"/>
              <w:spacing w:line="240" w:lineRule="auto"/>
              <w:jc w:val="center"/>
              <w:rPr>
                <w:rFonts w:ascii="黑体" w:hAnsi="黑体" w:eastAsia="黑体" w:cs="黑体"/>
                <w:sz w:val="21"/>
                <w:szCs w:val="21"/>
              </w:rPr>
            </w:pPr>
          </w:p>
        </w:tc>
        <w:tc>
          <w:tcPr>
            <w:tcW w:w="8966" w:type="dxa"/>
            <w:gridSpan w:val="10"/>
            <w:noWrap w:val="0"/>
            <w:vAlign w:val="center"/>
          </w:tcPr>
          <w:p w14:paraId="12C97FE5">
            <w:pPr>
              <w:pStyle w:val="3"/>
              <w:pageBreakBefore w:val="0"/>
              <w:kinsoku/>
              <w:wordWrap/>
              <w:overflowPunct/>
              <w:topLinePunct w:val="0"/>
              <w:bidi w:val="0"/>
              <w:spacing w:line="240" w:lineRule="auto"/>
              <w:jc w:val="left"/>
              <w:rPr>
                <w:rFonts w:hint="eastAsia" w:ascii="黑体" w:hAnsi="黑体" w:eastAsia="黑体" w:cs="黑体"/>
                <w:sz w:val="21"/>
                <w:szCs w:val="21"/>
                <w:highlight w:val="none"/>
              </w:rPr>
            </w:pPr>
            <w:r>
              <w:rPr>
                <w:rFonts w:hint="eastAsia" w:ascii="黑体" w:hAnsi="黑体" w:eastAsia="黑体" w:cs="黑体"/>
                <w:sz w:val="21"/>
                <w:szCs w:val="21"/>
                <w:highlight w:val="none"/>
              </w:rPr>
              <w:t>1.单个或分组考核。</w:t>
            </w:r>
          </w:p>
          <w:p w14:paraId="77F5B1D0">
            <w:pPr>
              <w:pStyle w:val="3"/>
              <w:pageBreakBefore w:val="0"/>
              <w:kinsoku/>
              <w:wordWrap/>
              <w:overflowPunct/>
              <w:topLinePunct w:val="0"/>
              <w:bidi w:val="0"/>
              <w:spacing w:line="240" w:lineRule="auto"/>
              <w:jc w:val="left"/>
              <w:rPr>
                <w:rFonts w:hint="eastAsia" w:ascii="黑体" w:hAnsi="黑体" w:eastAsia="黑体" w:cs="黑体"/>
                <w:sz w:val="21"/>
                <w:szCs w:val="21"/>
                <w:highlight w:val="none"/>
              </w:rPr>
            </w:pPr>
            <w:r>
              <w:rPr>
                <w:rFonts w:hint="eastAsia" w:ascii="黑体" w:hAnsi="黑体" w:eastAsia="黑体" w:cs="黑体"/>
                <w:sz w:val="21"/>
                <w:szCs w:val="21"/>
                <w:highlight w:val="none"/>
              </w:rPr>
              <w:t>2.在跑道或平地上标出起跳线，考生站立在起跳线后，脚尖不得踩线，脚尖不得离开地面，两脚原地同时起跳，不得有助跑、垫步或连跳动作，测量起跳线后沿至身体任何着地最近点后沿的垂直距离。两次测试，记录成绩较好的1次。</w:t>
            </w:r>
          </w:p>
          <w:p w14:paraId="64AACE5D">
            <w:pPr>
              <w:pStyle w:val="3"/>
              <w:pageBreakBefore w:val="0"/>
              <w:kinsoku/>
              <w:wordWrap/>
              <w:overflowPunct/>
              <w:topLinePunct w:val="0"/>
              <w:bidi w:val="0"/>
              <w:spacing w:line="240" w:lineRule="auto"/>
              <w:jc w:val="left"/>
              <w:rPr>
                <w:rFonts w:hint="eastAsia" w:ascii="黑体" w:hAnsi="黑体" w:eastAsia="黑体" w:cs="黑体"/>
                <w:sz w:val="21"/>
                <w:szCs w:val="21"/>
                <w:highlight w:val="none"/>
              </w:rPr>
            </w:pPr>
            <w:r>
              <w:rPr>
                <w:rFonts w:hint="eastAsia" w:ascii="黑体" w:hAnsi="黑体" w:eastAsia="黑体" w:cs="黑体"/>
                <w:sz w:val="21"/>
                <w:szCs w:val="21"/>
                <w:highlight w:val="none"/>
              </w:rPr>
              <w:t>3.考核以完成跳出长度计算成绩。</w:t>
            </w:r>
          </w:p>
          <w:p w14:paraId="4BFC736B">
            <w:pPr>
              <w:pStyle w:val="3"/>
              <w:pageBreakBefore w:val="0"/>
              <w:numPr>
                <w:ilvl w:val="0"/>
                <w:numId w:val="0"/>
              </w:numPr>
              <w:tabs>
                <w:tab w:val="left" w:pos="312"/>
              </w:tabs>
              <w:kinsoku/>
              <w:wordWrap/>
              <w:overflowPunct/>
              <w:topLinePunct w:val="0"/>
              <w:bidi w:val="0"/>
              <w:spacing w:line="240" w:lineRule="auto"/>
              <w:jc w:val="left"/>
              <w:rPr>
                <w:rFonts w:hint="eastAsia" w:ascii="黑体" w:hAnsi="黑体" w:eastAsia="黑体" w:cs="黑体"/>
                <w:sz w:val="21"/>
                <w:szCs w:val="21"/>
                <w:highlight w:val="none"/>
              </w:rPr>
            </w:pPr>
            <w:r>
              <w:rPr>
                <w:rFonts w:hint="eastAsia" w:ascii="黑体" w:hAnsi="黑体" w:eastAsia="黑体" w:cs="黑体"/>
                <w:sz w:val="21"/>
                <w:szCs w:val="21"/>
                <w:highlight w:val="none"/>
              </w:rPr>
              <w:t>4.得分超出10</w:t>
            </w:r>
            <w:r>
              <w:rPr>
                <w:rFonts w:hint="eastAsia" w:ascii="黑体" w:hAnsi="黑体" w:eastAsia="黑体" w:cs="黑体"/>
                <w:sz w:val="21"/>
                <w:szCs w:val="21"/>
                <w:highlight w:val="none"/>
                <w:lang w:val="en-US" w:eastAsia="zh-CN"/>
              </w:rPr>
              <w:t>0</w:t>
            </w:r>
            <w:r>
              <w:rPr>
                <w:rFonts w:hint="eastAsia" w:ascii="黑体" w:hAnsi="黑体" w:eastAsia="黑体" w:cs="黑体"/>
                <w:sz w:val="21"/>
                <w:szCs w:val="21"/>
                <w:highlight w:val="none"/>
              </w:rPr>
              <w:t>分的，每递增5厘米增加1分。</w:t>
            </w:r>
          </w:p>
          <w:p w14:paraId="0F6D9975">
            <w:pPr>
              <w:pStyle w:val="4"/>
              <w:pageBreakBefore w:val="0"/>
              <w:kinsoku/>
              <w:wordWrap/>
              <w:overflowPunct/>
              <w:topLinePunct w:val="0"/>
              <w:bidi w:val="0"/>
              <w:spacing w:line="240" w:lineRule="auto"/>
              <w:ind w:firstLine="0" w:firstLineChars="0"/>
              <w:rPr>
                <w:highlight w:val="none"/>
              </w:rPr>
            </w:pPr>
            <w:r>
              <w:rPr>
                <w:rFonts w:hint="eastAsia" w:ascii="黑体" w:hAnsi="黑体" w:eastAsia="黑体" w:cs="黑体"/>
                <w:sz w:val="21"/>
                <w:szCs w:val="21"/>
                <w:highlight w:val="none"/>
                <w:lang w:val="en-US" w:eastAsia="zh-CN"/>
              </w:rPr>
              <w:t>5.跳出长度低于2.01米的，本项测试不得分。</w:t>
            </w:r>
          </w:p>
        </w:tc>
      </w:tr>
      <w:tr w14:paraId="172A6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153" w:type="dxa"/>
            <w:vMerge w:val="restart"/>
            <w:noWrap w:val="0"/>
            <w:vAlign w:val="center"/>
          </w:tcPr>
          <w:p w14:paraId="5FD075E2">
            <w:pPr>
              <w:pStyle w:val="3"/>
              <w:pageBreakBefore w:val="0"/>
              <w:kinsoku/>
              <w:wordWrap/>
              <w:overflowPunct/>
              <w:topLinePunct w:val="0"/>
              <w:bidi w:val="0"/>
              <w:spacing w:line="240" w:lineRule="auto"/>
              <w:jc w:val="center"/>
              <w:rPr>
                <w:rFonts w:ascii="黑体" w:hAnsi="黑体" w:eastAsia="黑体" w:cs="黑体"/>
                <w:sz w:val="21"/>
                <w:szCs w:val="21"/>
              </w:rPr>
            </w:pPr>
            <w:r>
              <w:rPr>
                <w:rFonts w:hint="eastAsia" w:ascii="黑体" w:hAnsi="黑体" w:eastAsia="黑体" w:cs="黑体"/>
                <w:sz w:val="21"/>
                <w:szCs w:val="21"/>
              </w:rPr>
              <w:t>10米×4往返跑（秒）</w:t>
            </w:r>
          </w:p>
        </w:tc>
        <w:tc>
          <w:tcPr>
            <w:tcW w:w="825" w:type="dxa"/>
            <w:noWrap w:val="0"/>
            <w:vAlign w:val="center"/>
          </w:tcPr>
          <w:p w14:paraId="1BFA6960">
            <w:pPr>
              <w:pageBreakBefore w:val="0"/>
              <w:widowControl/>
              <w:kinsoku/>
              <w:wordWrap/>
              <w:overflowPunct/>
              <w:topLinePunct w:val="0"/>
              <w:bidi w:val="0"/>
              <w:adjustRightInd w:val="0"/>
              <w:snapToGrid w:val="0"/>
              <w:spacing w:line="240" w:lineRule="auto"/>
              <w:ind w:left="-153" w:leftChars="-73" w:right="-204" w:rightChars="-97"/>
              <w:jc w:val="center"/>
              <w:rPr>
                <w:sz w:val="21"/>
                <w:szCs w:val="21"/>
                <w:highlight w:val="none"/>
              </w:rPr>
            </w:pPr>
            <w:r>
              <w:rPr>
                <w:rFonts w:ascii="宋体" w:hAnsi="宋体"/>
                <w:sz w:val="24"/>
                <w:szCs w:val="24"/>
                <w:highlight w:val="none"/>
              </w:rPr>
              <w:t>14</w:t>
            </w:r>
            <w:r>
              <w:rPr>
                <w:sz w:val="24"/>
                <w:szCs w:val="24"/>
                <w:highlight w:val="none"/>
              </w:rPr>
              <w:t>″</w:t>
            </w:r>
            <w:r>
              <w:rPr>
                <w:rFonts w:ascii="宋体" w:hAnsi="宋体"/>
                <w:sz w:val="24"/>
                <w:szCs w:val="24"/>
                <w:highlight w:val="none"/>
              </w:rPr>
              <w:t>5</w:t>
            </w:r>
          </w:p>
        </w:tc>
        <w:tc>
          <w:tcPr>
            <w:tcW w:w="857" w:type="dxa"/>
            <w:noWrap w:val="0"/>
            <w:vAlign w:val="center"/>
          </w:tcPr>
          <w:p w14:paraId="4AF38F66">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13</w:t>
            </w:r>
            <w:r>
              <w:rPr>
                <w:kern w:val="0"/>
                <w:sz w:val="24"/>
                <w:szCs w:val="24"/>
                <w:highlight w:val="none"/>
              </w:rPr>
              <w:t>″</w:t>
            </w:r>
            <w:r>
              <w:rPr>
                <w:rFonts w:ascii="宋体" w:hAnsi="宋体"/>
                <w:sz w:val="24"/>
                <w:szCs w:val="24"/>
                <w:highlight w:val="none"/>
              </w:rPr>
              <w:t>3</w:t>
            </w:r>
          </w:p>
        </w:tc>
        <w:tc>
          <w:tcPr>
            <w:tcW w:w="962" w:type="dxa"/>
            <w:noWrap w:val="0"/>
            <w:vAlign w:val="center"/>
          </w:tcPr>
          <w:p w14:paraId="31F70944">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12</w:t>
            </w:r>
            <w:r>
              <w:rPr>
                <w:kern w:val="0"/>
                <w:sz w:val="24"/>
                <w:szCs w:val="24"/>
                <w:highlight w:val="none"/>
              </w:rPr>
              <w:t>″</w:t>
            </w:r>
            <w:r>
              <w:rPr>
                <w:rFonts w:ascii="宋体" w:hAnsi="宋体"/>
                <w:sz w:val="24"/>
                <w:szCs w:val="24"/>
                <w:highlight w:val="none"/>
              </w:rPr>
              <w:t>8</w:t>
            </w:r>
          </w:p>
        </w:tc>
        <w:tc>
          <w:tcPr>
            <w:tcW w:w="962" w:type="dxa"/>
            <w:noWrap w:val="0"/>
            <w:vAlign w:val="center"/>
          </w:tcPr>
          <w:p w14:paraId="21259DA8">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12</w:t>
            </w:r>
            <w:r>
              <w:rPr>
                <w:kern w:val="0"/>
                <w:sz w:val="24"/>
                <w:szCs w:val="24"/>
                <w:highlight w:val="none"/>
              </w:rPr>
              <w:t>″</w:t>
            </w:r>
            <w:r>
              <w:rPr>
                <w:rFonts w:ascii="宋体" w:hAnsi="宋体"/>
                <w:sz w:val="24"/>
                <w:szCs w:val="24"/>
                <w:highlight w:val="none"/>
              </w:rPr>
              <w:t>3</w:t>
            </w:r>
          </w:p>
        </w:tc>
        <w:tc>
          <w:tcPr>
            <w:tcW w:w="962" w:type="dxa"/>
            <w:noWrap w:val="0"/>
            <w:vAlign w:val="center"/>
          </w:tcPr>
          <w:p w14:paraId="2614D53C">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11</w:t>
            </w:r>
            <w:r>
              <w:rPr>
                <w:kern w:val="0"/>
                <w:sz w:val="24"/>
                <w:szCs w:val="24"/>
                <w:highlight w:val="none"/>
              </w:rPr>
              <w:t>″</w:t>
            </w:r>
            <w:r>
              <w:rPr>
                <w:rFonts w:ascii="宋体" w:hAnsi="宋体"/>
                <w:sz w:val="24"/>
                <w:szCs w:val="24"/>
                <w:highlight w:val="none"/>
              </w:rPr>
              <w:t>8</w:t>
            </w:r>
          </w:p>
        </w:tc>
        <w:tc>
          <w:tcPr>
            <w:tcW w:w="893" w:type="dxa"/>
            <w:noWrap w:val="0"/>
            <w:vAlign w:val="center"/>
          </w:tcPr>
          <w:p w14:paraId="660EBF78">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w:t>
            </w:r>
            <w:r>
              <w:rPr>
                <w:rFonts w:hint="eastAsia" w:ascii="宋体" w:hAnsi="宋体"/>
                <w:sz w:val="24"/>
                <w:szCs w:val="24"/>
                <w:highlight w:val="none"/>
              </w:rPr>
              <w:t>1</w:t>
            </w:r>
            <w:r>
              <w:rPr>
                <w:kern w:val="0"/>
                <w:sz w:val="24"/>
                <w:szCs w:val="24"/>
                <w:highlight w:val="none"/>
              </w:rPr>
              <w:t>″</w:t>
            </w:r>
            <w:r>
              <w:rPr>
                <w:rFonts w:hint="eastAsia" w:ascii="宋体" w:hAnsi="宋体"/>
                <w:sz w:val="24"/>
                <w:szCs w:val="24"/>
                <w:highlight w:val="none"/>
              </w:rPr>
              <w:t>3</w:t>
            </w:r>
          </w:p>
        </w:tc>
        <w:tc>
          <w:tcPr>
            <w:tcW w:w="911" w:type="dxa"/>
            <w:noWrap w:val="0"/>
            <w:vAlign w:val="center"/>
          </w:tcPr>
          <w:p w14:paraId="4F26523D">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10</w:t>
            </w:r>
            <w:r>
              <w:rPr>
                <w:kern w:val="0"/>
                <w:sz w:val="24"/>
                <w:szCs w:val="24"/>
                <w:highlight w:val="none"/>
              </w:rPr>
              <w:t>″</w:t>
            </w:r>
            <w:r>
              <w:rPr>
                <w:rFonts w:ascii="宋体" w:hAnsi="宋体"/>
                <w:sz w:val="24"/>
                <w:szCs w:val="24"/>
                <w:highlight w:val="none"/>
              </w:rPr>
              <w:t>8</w:t>
            </w:r>
          </w:p>
        </w:tc>
        <w:tc>
          <w:tcPr>
            <w:tcW w:w="878" w:type="dxa"/>
            <w:noWrap w:val="0"/>
            <w:vAlign w:val="center"/>
          </w:tcPr>
          <w:p w14:paraId="4CE061EF">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10</w:t>
            </w:r>
            <w:r>
              <w:rPr>
                <w:kern w:val="0"/>
                <w:sz w:val="24"/>
                <w:szCs w:val="24"/>
                <w:highlight w:val="none"/>
              </w:rPr>
              <w:t>″</w:t>
            </w:r>
            <w:r>
              <w:rPr>
                <w:rFonts w:ascii="宋体" w:hAnsi="宋体"/>
                <w:sz w:val="24"/>
                <w:szCs w:val="24"/>
                <w:highlight w:val="none"/>
              </w:rPr>
              <w:t>4</w:t>
            </w:r>
          </w:p>
        </w:tc>
        <w:tc>
          <w:tcPr>
            <w:tcW w:w="902" w:type="dxa"/>
            <w:noWrap w:val="0"/>
            <w:vAlign w:val="center"/>
          </w:tcPr>
          <w:p w14:paraId="47FF28A5">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10</w:t>
            </w:r>
            <w:r>
              <w:rPr>
                <w:kern w:val="0"/>
                <w:sz w:val="24"/>
                <w:szCs w:val="24"/>
                <w:highlight w:val="none"/>
              </w:rPr>
              <w:t>″</w:t>
            </w:r>
            <w:r>
              <w:rPr>
                <w:rFonts w:ascii="宋体" w:hAnsi="宋体"/>
                <w:sz w:val="24"/>
                <w:szCs w:val="24"/>
                <w:highlight w:val="none"/>
              </w:rPr>
              <w:t>1</w:t>
            </w:r>
          </w:p>
        </w:tc>
        <w:tc>
          <w:tcPr>
            <w:tcW w:w="814" w:type="dxa"/>
            <w:noWrap w:val="0"/>
            <w:vAlign w:val="center"/>
          </w:tcPr>
          <w:p w14:paraId="34CE46C7">
            <w:pPr>
              <w:pageBreakBefore w:val="0"/>
              <w:widowControl/>
              <w:kinsoku/>
              <w:wordWrap/>
              <w:overflowPunct/>
              <w:topLinePunct w:val="0"/>
              <w:bidi w:val="0"/>
              <w:adjustRightInd w:val="0"/>
              <w:snapToGrid w:val="0"/>
              <w:spacing w:line="240" w:lineRule="auto"/>
              <w:ind w:left="22" w:leftChars="-77" w:right="-113" w:rightChars="-54" w:hanging="184" w:hangingChars="77"/>
              <w:jc w:val="center"/>
              <w:rPr>
                <w:sz w:val="21"/>
                <w:szCs w:val="21"/>
                <w:highlight w:val="none"/>
              </w:rPr>
            </w:pPr>
            <w:r>
              <w:rPr>
                <w:rFonts w:ascii="宋体" w:hAnsi="宋体"/>
                <w:sz w:val="24"/>
                <w:szCs w:val="24"/>
                <w:highlight w:val="none"/>
              </w:rPr>
              <w:t>9</w:t>
            </w:r>
            <w:r>
              <w:rPr>
                <w:kern w:val="0"/>
                <w:sz w:val="24"/>
                <w:szCs w:val="24"/>
                <w:highlight w:val="none"/>
              </w:rPr>
              <w:t>″</w:t>
            </w:r>
            <w:r>
              <w:rPr>
                <w:rFonts w:ascii="宋体" w:hAnsi="宋体"/>
                <w:sz w:val="24"/>
                <w:szCs w:val="24"/>
                <w:highlight w:val="none"/>
              </w:rPr>
              <w:t>8</w:t>
            </w:r>
          </w:p>
        </w:tc>
      </w:tr>
      <w:tr w14:paraId="38DC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trPr>
        <w:tc>
          <w:tcPr>
            <w:tcW w:w="1153" w:type="dxa"/>
            <w:vMerge w:val="continue"/>
            <w:tcBorders>
              <w:bottom w:val="single" w:color="auto" w:sz="4" w:space="0"/>
            </w:tcBorders>
            <w:noWrap w:val="0"/>
            <w:vAlign w:val="center"/>
          </w:tcPr>
          <w:p w14:paraId="40B4A8D8">
            <w:pPr>
              <w:pStyle w:val="3"/>
              <w:pageBreakBefore w:val="0"/>
              <w:kinsoku/>
              <w:wordWrap/>
              <w:overflowPunct/>
              <w:topLinePunct w:val="0"/>
              <w:bidi w:val="0"/>
              <w:spacing w:line="240" w:lineRule="auto"/>
              <w:jc w:val="center"/>
              <w:rPr>
                <w:rFonts w:ascii="黑体" w:hAnsi="黑体" w:eastAsia="黑体" w:cs="黑体"/>
                <w:sz w:val="21"/>
                <w:szCs w:val="21"/>
              </w:rPr>
            </w:pPr>
          </w:p>
        </w:tc>
        <w:tc>
          <w:tcPr>
            <w:tcW w:w="8966" w:type="dxa"/>
            <w:gridSpan w:val="10"/>
            <w:noWrap w:val="0"/>
            <w:vAlign w:val="center"/>
          </w:tcPr>
          <w:p w14:paraId="16DFDBA3">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1.单个或分组考核。</w:t>
            </w:r>
          </w:p>
          <w:p w14:paraId="1BBCB628">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2.在10米长的跑道上标出起点线和折返线，考生从起点线处听到起跑口令后起跑，在折返线处返回跑向起跑线，到达起跑线时为完成1次往返。连续完成2次往返，记录时间。</w:t>
            </w:r>
          </w:p>
          <w:p w14:paraId="4C36FB03">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3.考核以完成时间计算成绩。</w:t>
            </w:r>
          </w:p>
          <w:p w14:paraId="5D88908C">
            <w:pPr>
              <w:pStyle w:val="3"/>
              <w:pageBreakBefore w:val="0"/>
              <w:kinsoku/>
              <w:wordWrap/>
              <w:overflowPunct/>
              <w:topLinePunct w:val="0"/>
              <w:bidi w:val="0"/>
              <w:spacing w:line="240" w:lineRule="auto"/>
              <w:jc w:val="left"/>
              <w:rPr>
                <w:rFonts w:ascii="黑体" w:hAnsi="黑体" w:eastAsia="黑体" w:cs="黑体"/>
                <w:sz w:val="21"/>
                <w:szCs w:val="21"/>
                <w:highlight w:val="yellow"/>
              </w:rPr>
            </w:pPr>
            <w:r>
              <w:rPr>
                <w:rFonts w:hint="eastAsia" w:ascii="黑体" w:hAnsi="黑体" w:eastAsia="黑体" w:cs="黑体"/>
                <w:sz w:val="21"/>
                <w:szCs w:val="21"/>
              </w:rPr>
              <w:t>4.</w:t>
            </w:r>
            <w:r>
              <w:rPr>
                <w:rFonts w:hint="eastAsia" w:ascii="黑体" w:hAnsi="黑体" w:eastAsia="黑体" w:cs="黑体"/>
                <w:sz w:val="21"/>
                <w:szCs w:val="21"/>
                <w:highlight w:val="none"/>
              </w:rPr>
              <w:t>得分超出100分的，每递减</w:t>
            </w:r>
            <w:r>
              <w:rPr>
                <w:rFonts w:hint="eastAsia" w:ascii="黑体" w:hAnsi="黑体" w:eastAsia="黑体" w:cs="黑体"/>
                <w:color w:val="000000"/>
                <w:sz w:val="21"/>
                <w:szCs w:val="21"/>
                <w:highlight w:val="none"/>
              </w:rPr>
              <w:t>0.1秒</w:t>
            </w:r>
            <w:r>
              <w:rPr>
                <w:rFonts w:hint="eastAsia" w:ascii="黑体" w:hAnsi="黑体" w:eastAsia="黑体" w:cs="黑体"/>
                <w:sz w:val="21"/>
                <w:szCs w:val="21"/>
                <w:highlight w:val="none"/>
              </w:rPr>
              <w:t>增加5分。</w:t>
            </w:r>
          </w:p>
          <w:p w14:paraId="62CBB76C">
            <w:pPr>
              <w:pStyle w:val="3"/>
              <w:pageBreakBefore w:val="0"/>
              <w:kinsoku/>
              <w:wordWrap/>
              <w:overflowPunct/>
              <w:topLinePunct w:val="0"/>
              <w:bidi w:val="0"/>
              <w:spacing w:line="240" w:lineRule="auto"/>
              <w:jc w:val="left"/>
            </w:pPr>
            <w:r>
              <w:rPr>
                <w:rFonts w:hint="eastAsia" w:ascii="黑体" w:hAnsi="黑体" w:eastAsia="黑体" w:cs="黑体"/>
                <w:sz w:val="21"/>
                <w:szCs w:val="21"/>
              </w:rPr>
              <w:t>5.用时超出14</w:t>
            </w:r>
            <w:r>
              <w:rPr>
                <w:rFonts w:hint="eastAsia" w:ascii="黑体" w:hAnsi="黑体" w:eastAsia="黑体" w:cs="黑体"/>
                <w:color w:val="333333"/>
                <w:spacing w:val="0"/>
                <w:sz w:val="21"/>
                <w:szCs w:val="21"/>
                <w:shd w:val="clear" w:color="auto" w:fill="FFFFFF"/>
              </w:rPr>
              <w:t>″</w:t>
            </w:r>
            <w:r>
              <w:rPr>
                <w:rFonts w:hint="eastAsia" w:ascii="黑体" w:hAnsi="黑体" w:eastAsia="黑体" w:cs="黑体"/>
                <w:sz w:val="21"/>
                <w:szCs w:val="21"/>
              </w:rPr>
              <w:t>5的，本项测试不得分。</w:t>
            </w:r>
          </w:p>
        </w:tc>
      </w:tr>
      <w:tr w14:paraId="634C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53" w:type="dxa"/>
            <w:tcBorders>
              <w:top w:val="nil"/>
              <w:left w:val="single" w:color="auto" w:sz="4" w:space="0"/>
              <w:bottom w:val="nil"/>
              <w:right w:val="single" w:color="auto" w:sz="4" w:space="0"/>
            </w:tcBorders>
            <w:noWrap w:val="0"/>
            <w:vAlign w:val="center"/>
          </w:tcPr>
          <w:p w14:paraId="1E0D5AC1">
            <w:pPr>
              <w:pStyle w:val="3"/>
              <w:pageBreakBefore w:val="0"/>
              <w:kinsoku/>
              <w:wordWrap/>
              <w:overflowPunct/>
              <w:topLinePunct w:val="0"/>
              <w:bidi w:val="0"/>
              <w:spacing w:line="240" w:lineRule="auto"/>
              <w:jc w:val="center"/>
              <w:rPr>
                <w:rFonts w:hint="default" w:ascii="黑体" w:hAnsi="黑体" w:eastAsia="黑体" w:cs="黑体"/>
                <w:sz w:val="21"/>
                <w:szCs w:val="21"/>
                <w:lang w:val="en-US" w:eastAsia="zh-CN"/>
              </w:rPr>
            </w:pPr>
          </w:p>
        </w:tc>
        <w:tc>
          <w:tcPr>
            <w:tcW w:w="825" w:type="dxa"/>
            <w:tcBorders>
              <w:left w:val="single" w:color="auto" w:sz="4" w:space="0"/>
            </w:tcBorders>
            <w:noWrap w:val="0"/>
            <w:vAlign w:val="center"/>
          </w:tcPr>
          <w:p w14:paraId="25608220">
            <w:pPr>
              <w:pStyle w:val="3"/>
              <w:pageBreakBefore w:val="0"/>
              <w:kinsoku/>
              <w:wordWrap/>
              <w:overflowPunct/>
              <w:topLinePunct w:val="0"/>
              <w:bidi w:val="0"/>
              <w:spacing w:line="240" w:lineRule="auto"/>
              <w:jc w:val="center"/>
              <w:rPr>
                <w:rFonts w:hint="eastAsia" w:ascii="黑体" w:hAnsi="黑体" w:eastAsia="黑体" w:cs="黑体"/>
                <w:sz w:val="21"/>
                <w:szCs w:val="21"/>
                <w:highlight w:val="none"/>
              </w:rPr>
            </w:pPr>
            <w:r>
              <w:rPr>
                <w:rFonts w:hint="eastAsia"/>
                <w:sz w:val="21"/>
                <w:szCs w:val="21"/>
                <w:highlight w:val="none"/>
              </w:rPr>
              <w:t>5</w:t>
            </w:r>
            <w:r>
              <w:rPr>
                <w:rFonts w:ascii="Arial" w:hAnsi="Arial" w:cs="Arial"/>
                <w:color w:val="333333"/>
                <w:spacing w:val="0"/>
                <w:sz w:val="21"/>
                <w:szCs w:val="21"/>
                <w:highlight w:val="none"/>
                <w:shd w:val="clear" w:color="auto" w:fill="FFFFFF"/>
              </w:rPr>
              <w:t>′</w:t>
            </w:r>
            <w:r>
              <w:rPr>
                <w:rFonts w:hint="eastAsia"/>
                <w:sz w:val="21"/>
                <w:szCs w:val="21"/>
                <w:highlight w:val="none"/>
              </w:rPr>
              <w:t xml:space="preserve">00 </w:t>
            </w:r>
            <w:r>
              <w:rPr>
                <w:rFonts w:ascii="Arial" w:hAnsi="Arial" w:cs="Arial"/>
                <w:color w:val="333333"/>
                <w:spacing w:val="0"/>
                <w:sz w:val="21"/>
                <w:szCs w:val="21"/>
                <w:highlight w:val="none"/>
                <w:shd w:val="clear" w:color="auto" w:fill="FFFFFF"/>
              </w:rPr>
              <w:t>″</w:t>
            </w:r>
          </w:p>
        </w:tc>
        <w:tc>
          <w:tcPr>
            <w:tcW w:w="857" w:type="dxa"/>
            <w:noWrap w:val="0"/>
            <w:vAlign w:val="center"/>
          </w:tcPr>
          <w:p w14:paraId="63C8A121">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4</w:t>
            </w:r>
            <w:r>
              <w:rPr>
                <w:rFonts w:ascii="Arial" w:hAnsi="Arial" w:cs="Arial"/>
                <w:color w:val="333333"/>
                <w:spacing w:val="0"/>
                <w:sz w:val="21"/>
                <w:szCs w:val="21"/>
                <w:highlight w:val="none"/>
                <w:shd w:val="clear" w:color="auto" w:fill="FFFFFF"/>
              </w:rPr>
              <w:t>′</w:t>
            </w:r>
            <w:r>
              <w:rPr>
                <w:rFonts w:hint="eastAsia"/>
                <w:sz w:val="21"/>
                <w:szCs w:val="21"/>
                <w:highlight w:val="none"/>
              </w:rPr>
              <w:t>50</w:t>
            </w:r>
            <w:r>
              <w:rPr>
                <w:rFonts w:ascii="Arial" w:hAnsi="Arial" w:cs="Arial"/>
                <w:color w:val="333333"/>
                <w:spacing w:val="0"/>
                <w:sz w:val="21"/>
                <w:szCs w:val="21"/>
                <w:highlight w:val="none"/>
                <w:shd w:val="clear" w:color="auto" w:fill="FFFFFF"/>
              </w:rPr>
              <w:t>″</w:t>
            </w:r>
          </w:p>
        </w:tc>
        <w:tc>
          <w:tcPr>
            <w:tcW w:w="962" w:type="dxa"/>
            <w:noWrap w:val="0"/>
            <w:vAlign w:val="center"/>
          </w:tcPr>
          <w:p w14:paraId="38001E2D">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4</w:t>
            </w:r>
            <w:r>
              <w:rPr>
                <w:rFonts w:ascii="Arial" w:hAnsi="Arial" w:cs="Arial"/>
                <w:color w:val="333333"/>
                <w:spacing w:val="0"/>
                <w:sz w:val="21"/>
                <w:szCs w:val="21"/>
                <w:highlight w:val="none"/>
                <w:shd w:val="clear" w:color="auto" w:fill="FFFFFF"/>
              </w:rPr>
              <w:t>′</w:t>
            </w:r>
            <w:r>
              <w:rPr>
                <w:rFonts w:hint="eastAsia"/>
                <w:sz w:val="21"/>
                <w:szCs w:val="21"/>
                <w:highlight w:val="none"/>
              </w:rPr>
              <w:t>40</w:t>
            </w:r>
            <w:r>
              <w:rPr>
                <w:rFonts w:ascii="Arial" w:hAnsi="Arial" w:cs="Arial"/>
                <w:color w:val="333333"/>
                <w:spacing w:val="0"/>
                <w:sz w:val="21"/>
                <w:szCs w:val="21"/>
                <w:highlight w:val="none"/>
                <w:shd w:val="clear" w:color="auto" w:fill="FFFFFF"/>
              </w:rPr>
              <w:t>″</w:t>
            </w:r>
          </w:p>
        </w:tc>
        <w:tc>
          <w:tcPr>
            <w:tcW w:w="962" w:type="dxa"/>
            <w:noWrap w:val="0"/>
            <w:vAlign w:val="center"/>
          </w:tcPr>
          <w:p w14:paraId="0DD96D9B">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4</w:t>
            </w:r>
            <w:r>
              <w:rPr>
                <w:rFonts w:ascii="Arial" w:hAnsi="Arial" w:cs="Arial"/>
                <w:color w:val="333333"/>
                <w:spacing w:val="0"/>
                <w:sz w:val="21"/>
                <w:szCs w:val="21"/>
                <w:highlight w:val="none"/>
                <w:shd w:val="clear" w:color="auto" w:fill="FFFFFF"/>
              </w:rPr>
              <w:t>′</w:t>
            </w:r>
            <w:r>
              <w:rPr>
                <w:rFonts w:hint="eastAsia"/>
                <w:sz w:val="21"/>
                <w:szCs w:val="21"/>
                <w:highlight w:val="none"/>
              </w:rPr>
              <w:t>30</w:t>
            </w:r>
            <w:r>
              <w:rPr>
                <w:rFonts w:ascii="Arial" w:hAnsi="Arial" w:cs="Arial"/>
                <w:color w:val="333333"/>
                <w:spacing w:val="0"/>
                <w:sz w:val="21"/>
                <w:szCs w:val="21"/>
                <w:highlight w:val="none"/>
                <w:shd w:val="clear" w:color="auto" w:fill="FFFFFF"/>
              </w:rPr>
              <w:t>″</w:t>
            </w:r>
          </w:p>
        </w:tc>
        <w:tc>
          <w:tcPr>
            <w:tcW w:w="962" w:type="dxa"/>
            <w:noWrap w:val="0"/>
            <w:vAlign w:val="center"/>
          </w:tcPr>
          <w:p w14:paraId="01C8C1AD">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4</w:t>
            </w:r>
            <w:r>
              <w:rPr>
                <w:rFonts w:ascii="Arial" w:hAnsi="Arial" w:cs="Arial"/>
                <w:color w:val="333333"/>
                <w:spacing w:val="0"/>
                <w:sz w:val="21"/>
                <w:szCs w:val="21"/>
                <w:highlight w:val="none"/>
                <w:shd w:val="clear" w:color="auto" w:fill="FFFFFF"/>
              </w:rPr>
              <w:t>′</w:t>
            </w:r>
            <w:r>
              <w:rPr>
                <w:rFonts w:hint="eastAsia"/>
                <w:sz w:val="21"/>
                <w:szCs w:val="21"/>
                <w:highlight w:val="none"/>
              </w:rPr>
              <w:t>20</w:t>
            </w:r>
            <w:r>
              <w:rPr>
                <w:rFonts w:ascii="Arial" w:hAnsi="Arial" w:cs="Arial"/>
                <w:color w:val="333333"/>
                <w:spacing w:val="0"/>
                <w:sz w:val="21"/>
                <w:szCs w:val="21"/>
                <w:highlight w:val="none"/>
                <w:shd w:val="clear" w:color="auto" w:fill="FFFFFF"/>
              </w:rPr>
              <w:t>″</w:t>
            </w:r>
          </w:p>
        </w:tc>
        <w:tc>
          <w:tcPr>
            <w:tcW w:w="893" w:type="dxa"/>
            <w:noWrap w:val="0"/>
            <w:vAlign w:val="center"/>
          </w:tcPr>
          <w:p w14:paraId="4A190A9C">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4</w:t>
            </w:r>
            <w:r>
              <w:rPr>
                <w:rFonts w:ascii="Arial" w:hAnsi="Arial" w:cs="Arial"/>
                <w:color w:val="333333"/>
                <w:spacing w:val="0"/>
                <w:sz w:val="21"/>
                <w:szCs w:val="21"/>
                <w:highlight w:val="none"/>
                <w:shd w:val="clear" w:color="auto" w:fill="FFFFFF"/>
              </w:rPr>
              <w:t>′</w:t>
            </w:r>
            <w:r>
              <w:rPr>
                <w:rFonts w:hint="eastAsia"/>
                <w:sz w:val="21"/>
                <w:szCs w:val="21"/>
                <w:highlight w:val="none"/>
              </w:rPr>
              <w:t>10</w:t>
            </w:r>
            <w:r>
              <w:rPr>
                <w:rFonts w:ascii="Arial" w:hAnsi="Arial" w:cs="Arial"/>
                <w:color w:val="333333"/>
                <w:spacing w:val="0"/>
                <w:sz w:val="21"/>
                <w:szCs w:val="21"/>
                <w:highlight w:val="none"/>
                <w:shd w:val="clear" w:color="auto" w:fill="FFFFFF"/>
              </w:rPr>
              <w:t>″</w:t>
            </w:r>
          </w:p>
        </w:tc>
        <w:tc>
          <w:tcPr>
            <w:tcW w:w="911" w:type="dxa"/>
            <w:noWrap w:val="0"/>
            <w:vAlign w:val="center"/>
          </w:tcPr>
          <w:p w14:paraId="776CEF39">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4</w:t>
            </w:r>
            <w:r>
              <w:rPr>
                <w:rFonts w:ascii="Arial" w:hAnsi="Arial" w:cs="Arial"/>
                <w:color w:val="333333"/>
                <w:spacing w:val="0"/>
                <w:sz w:val="21"/>
                <w:szCs w:val="21"/>
                <w:highlight w:val="none"/>
                <w:shd w:val="clear" w:color="auto" w:fill="FFFFFF"/>
              </w:rPr>
              <w:t>′</w:t>
            </w:r>
            <w:r>
              <w:rPr>
                <w:rFonts w:hint="eastAsia"/>
                <w:sz w:val="21"/>
                <w:szCs w:val="21"/>
                <w:highlight w:val="none"/>
              </w:rPr>
              <w:t>00</w:t>
            </w:r>
            <w:r>
              <w:rPr>
                <w:rFonts w:ascii="Arial" w:hAnsi="Arial" w:cs="Arial"/>
                <w:color w:val="333333"/>
                <w:spacing w:val="0"/>
                <w:sz w:val="21"/>
                <w:szCs w:val="21"/>
                <w:highlight w:val="none"/>
                <w:shd w:val="clear" w:color="auto" w:fill="FFFFFF"/>
              </w:rPr>
              <w:t>″</w:t>
            </w:r>
          </w:p>
        </w:tc>
        <w:tc>
          <w:tcPr>
            <w:tcW w:w="878" w:type="dxa"/>
            <w:noWrap w:val="0"/>
            <w:vAlign w:val="center"/>
          </w:tcPr>
          <w:p w14:paraId="1415702D">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3</w:t>
            </w:r>
            <w:r>
              <w:rPr>
                <w:rFonts w:ascii="Arial" w:hAnsi="Arial" w:cs="Arial"/>
                <w:color w:val="333333"/>
                <w:spacing w:val="0"/>
                <w:sz w:val="21"/>
                <w:szCs w:val="21"/>
                <w:highlight w:val="none"/>
                <w:shd w:val="clear" w:color="auto" w:fill="FFFFFF"/>
              </w:rPr>
              <w:t>′</w:t>
            </w:r>
            <w:r>
              <w:rPr>
                <w:rFonts w:hint="eastAsia"/>
                <w:sz w:val="21"/>
                <w:szCs w:val="21"/>
                <w:highlight w:val="none"/>
              </w:rPr>
              <w:t>50</w:t>
            </w:r>
            <w:r>
              <w:rPr>
                <w:rFonts w:ascii="Arial" w:hAnsi="Arial" w:cs="Arial"/>
                <w:color w:val="333333"/>
                <w:spacing w:val="0"/>
                <w:sz w:val="21"/>
                <w:szCs w:val="21"/>
                <w:highlight w:val="none"/>
                <w:shd w:val="clear" w:color="auto" w:fill="FFFFFF"/>
              </w:rPr>
              <w:t>″</w:t>
            </w:r>
          </w:p>
        </w:tc>
        <w:tc>
          <w:tcPr>
            <w:tcW w:w="902" w:type="dxa"/>
            <w:noWrap w:val="0"/>
            <w:vAlign w:val="center"/>
          </w:tcPr>
          <w:p w14:paraId="40F9858A">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3</w:t>
            </w:r>
            <w:r>
              <w:rPr>
                <w:rFonts w:ascii="Arial" w:hAnsi="Arial" w:cs="Arial"/>
                <w:color w:val="333333"/>
                <w:spacing w:val="0"/>
                <w:sz w:val="21"/>
                <w:szCs w:val="21"/>
                <w:highlight w:val="none"/>
                <w:shd w:val="clear" w:color="auto" w:fill="FFFFFF"/>
              </w:rPr>
              <w:t>′</w:t>
            </w:r>
            <w:r>
              <w:rPr>
                <w:rFonts w:hint="eastAsia"/>
                <w:sz w:val="21"/>
                <w:szCs w:val="21"/>
                <w:highlight w:val="none"/>
              </w:rPr>
              <w:t>40</w:t>
            </w:r>
            <w:r>
              <w:rPr>
                <w:rFonts w:ascii="Arial" w:hAnsi="Arial" w:cs="Arial"/>
                <w:color w:val="333333"/>
                <w:spacing w:val="0"/>
                <w:sz w:val="21"/>
                <w:szCs w:val="21"/>
                <w:highlight w:val="none"/>
                <w:shd w:val="clear" w:color="auto" w:fill="FFFFFF"/>
              </w:rPr>
              <w:t>″</w:t>
            </w:r>
          </w:p>
        </w:tc>
        <w:tc>
          <w:tcPr>
            <w:tcW w:w="814" w:type="dxa"/>
            <w:noWrap w:val="0"/>
            <w:vAlign w:val="center"/>
          </w:tcPr>
          <w:p w14:paraId="2AFA1BF5">
            <w:pPr>
              <w:pStyle w:val="3"/>
              <w:pageBreakBefore w:val="0"/>
              <w:kinsoku/>
              <w:wordWrap/>
              <w:overflowPunct/>
              <w:topLinePunct w:val="0"/>
              <w:bidi w:val="0"/>
              <w:spacing w:line="240" w:lineRule="auto"/>
              <w:jc w:val="center"/>
              <w:rPr>
                <w:rFonts w:hint="eastAsia"/>
                <w:sz w:val="21"/>
                <w:szCs w:val="21"/>
                <w:highlight w:val="none"/>
              </w:rPr>
            </w:pPr>
            <w:r>
              <w:rPr>
                <w:rFonts w:hint="eastAsia"/>
                <w:sz w:val="21"/>
                <w:szCs w:val="21"/>
                <w:highlight w:val="none"/>
              </w:rPr>
              <w:t>3</w:t>
            </w:r>
            <w:r>
              <w:rPr>
                <w:rFonts w:ascii="Arial" w:hAnsi="Arial" w:cs="Arial"/>
                <w:color w:val="333333"/>
                <w:spacing w:val="0"/>
                <w:sz w:val="21"/>
                <w:szCs w:val="21"/>
                <w:highlight w:val="none"/>
                <w:shd w:val="clear" w:color="auto" w:fill="FFFFFF"/>
              </w:rPr>
              <w:t>′</w:t>
            </w:r>
            <w:r>
              <w:rPr>
                <w:rFonts w:hint="eastAsia"/>
                <w:sz w:val="21"/>
                <w:szCs w:val="21"/>
                <w:highlight w:val="none"/>
                <w:lang w:val="en-US" w:eastAsia="zh-CN"/>
              </w:rPr>
              <w:t>3</w:t>
            </w:r>
            <w:r>
              <w:rPr>
                <w:rFonts w:hint="eastAsia"/>
                <w:sz w:val="21"/>
                <w:szCs w:val="21"/>
                <w:highlight w:val="none"/>
              </w:rPr>
              <w:t>0</w:t>
            </w:r>
            <w:r>
              <w:rPr>
                <w:rFonts w:ascii="Arial" w:hAnsi="Arial" w:cs="Arial"/>
                <w:color w:val="333333"/>
                <w:spacing w:val="0"/>
                <w:sz w:val="21"/>
                <w:szCs w:val="21"/>
                <w:highlight w:val="none"/>
                <w:shd w:val="clear" w:color="auto" w:fill="FFFFFF"/>
              </w:rPr>
              <w:t>″</w:t>
            </w:r>
          </w:p>
        </w:tc>
      </w:tr>
      <w:tr w14:paraId="2B7AC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trPr>
        <w:tc>
          <w:tcPr>
            <w:tcW w:w="1153" w:type="dxa"/>
            <w:tcBorders>
              <w:top w:val="nil"/>
            </w:tcBorders>
            <w:noWrap w:val="0"/>
            <w:vAlign w:val="center"/>
          </w:tcPr>
          <w:p w14:paraId="6703D958">
            <w:pPr>
              <w:pStyle w:val="3"/>
              <w:pageBreakBefore w:val="0"/>
              <w:kinsoku/>
              <w:wordWrap/>
              <w:overflowPunct/>
              <w:topLinePunct w:val="0"/>
              <w:bidi w:val="0"/>
              <w:spacing w:line="240" w:lineRule="auto"/>
              <w:jc w:val="center"/>
              <w:rPr>
                <w:sz w:val="21"/>
                <w:szCs w:val="21"/>
              </w:rPr>
            </w:pPr>
            <w:r>
              <w:rPr>
                <w:rFonts w:hint="eastAsia" w:ascii="黑体" w:hAnsi="黑体" w:eastAsia="黑体" w:cs="黑体"/>
                <w:sz w:val="21"/>
                <w:szCs w:val="21"/>
              </w:rPr>
              <w:t>1000米跑（分、秒）</w:t>
            </w:r>
          </w:p>
        </w:tc>
        <w:tc>
          <w:tcPr>
            <w:tcW w:w="8966" w:type="dxa"/>
            <w:gridSpan w:val="10"/>
            <w:noWrap w:val="0"/>
            <w:vAlign w:val="center"/>
          </w:tcPr>
          <w:p w14:paraId="7BCCAA83">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1.分组考核。</w:t>
            </w:r>
          </w:p>
          <w:p w14:paraId="5734F8A4">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2.在跑道或平地上标出起点线，考生从起点线处听到起跑口令后起跑，完成1000米距离到达终点线，记录时间。</w:t>
            </w:r>
          </w:p>
          <w:p w14:paraId="793D0578">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3.考核以完成时间计算成绩。</w:t>
            </w:r>
          </w:p>
          <w:p w14:paraId="0771DE9E">
            <w:pPr>
              <w:pStyle w:val="3"/>
              <w:pageBreakBefore w:val="0"/>
              <w:kinsoku/>
              <w:wordWrap/>
              <w:overflowPunct/>
              <w:topLinePunct w:val="0"/>
              <w:bidi w:val="0"/>
              <w:spacing w:line="240" w:lineRule="auto"/>
              <w:jc w:val="left"/>
              <w:rPr>
                <w:rFonts w:ascii="黑体" w:hAnsi="黑体" w:eastAsia="黑体" w:cs="黑体"/>
                <w:sz w:val="21"/>
                <w:szCs w:val="21"/>
                <w:highlight w:val="none"/>
              </w:rPr>
            </w:pPr>
            <w:r>
              <w:rPr>
                <w:rFonts w:hint="eastAsia" w:ascii="黑体" w:hAnsi="黑体" w:eastAsia="黑体" w:cs="黑体"/>
                <w:sz w:val="21"/>
                <w:szCs w:val="21"/>
              </w:rPr>
              <w:t>4.</w:t>
            </w:r>
            <w:r>
              <w:rPr>
                <w:rFonts w:hint="eastAsia" w:ascii="黑体" w:hAnsi="黑体" w:eastAsia="黑体" w:cs="黑体"/>
                <w:sz w:val="21"/>
                <w:szCs w:val="21"/>
                <w:highlight w:val="none"/>
              </w:rPr>
              <w:t>得分超出100分的，每递减5秒增加5分。</w:t>
            </w:r>
          </w:p>
          <w:p w14:paraId="38C8B838">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5.用时超出5′</w:t>
            </w:r>
            <w:r>
              <w:rPr>
                <w:rFonts w:hint="eastAsia" w:ascii="黑体" w:hAnsi="黑体" w:eastAsia="黑体" w:cs="黑体"/>
                <w:sz w:val="21"/>
                <w:szCs w:val="21"/>
                <w:lang w:val="en-US" w:eastAsia="zh-CN"/>
              </w:rPr>
              <w:t>00</w:t>
            </w:r>
            <w:r>
              <w:rPr>
                <w:rFonts w:hint="eastAsia" w:ascii="黑体" w:hAnsi="黑体" w:eastAsia="黑体" w:cs="黑体"/>
                <w:sz w:val="21"/>
                <w:szCs w:val="21"/>
              </w:rPr>
              <w:t>″的，本项测试不得分。</w:t>
            </w:r>
          </w:p>
        </w:tc>
      </w:tr>
      <w:tr w14:paraId="68EA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2" w:hRule="atLeast"/>
        </w:trPr>
        <w:tc>
          <w:tcPr>
            <w:tcW w:w="1153" w:type="dxa"/>
            <w:noWrap w:val="0"/>
            <w:vAlign w:val="center"/>
          </w:tcPr>
          <w:p w14:paraId="7B8FDBCA">
            <w:pPr>
              <w:pStyle w:val="3"/>
              <w:pageBreakBefore w:val="0"/>
              <w:kinsoku/>
              <w:wordWrap/>
              <w:overflowPunct/>
              <w:topLinePunct w:val="0"/>
              <w:bidi w:val="0"/>
              <w:spacing w:line="240" w:lineRule="auto"/>
              <w:jc w:val="center"/>
              <w:rPr>
                <w:sz w:val="21"/>
                <w:szCs w:val="21"/>
              </w:rPr>
            </w:pPr>
            <w:r>
              <w:rPr>
                <w:rFonts w:hint="eastAsia" w:ascii="黑体" w:hAnsi="黑体" w:eastAsia="黑体" w:cs="黑体"/>
                <w:sz w:val="21"/>
                <w:szCs w:val="21"/>
              </w:rPr>
              <w:t>成绩核算方式</w:t>
            </w:r>
          </w:p>
        </w:tc>
        <w:tc>
          <w:tcPr>
            <w:tcW w:w="8966" w:type="dxa"/>
            <w:gridSpan w:val="10"/>
            <w:noWrap w:val="0"/>
            <w:vAlign w:val="center"/>
          </w:tcPr>
          <w:p w14:paraId="4680B3D1">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1.体能测试单项成绩不设上限。</w:t>
            </w:r>
          </w:p>
          <w:p w14:paraId="5CB62281">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2.三项体能测试合计最高分折算为体能测试满分（100分），考生体能测试总成绩按照相对于三项体能测试合计最高分百分比进行折算。</w:t>
            </w:r>
          </w:p>
          <w:p w14:paraId="292703A6">
            <w:pPr>
              <w:pStyle w:val="3"/>
              <w:pageBreakBefore w:val="0"/>
              <w:kinsoku/>
              <w:wordWrap/>
              <w:overflowPunct/>
              <w:topLinePunct w:val="0"/>
              <w:bidi w:val="0"/>
              <w:spacing w:line="240" w:lineRule="auto"/>
              <w:jc w:val="left"/>
              <w:rPr>
                <w:rFonts w:ascii="黑体" w:hAnsi="黑体" w:eastAsia="黑体" w:cs="黑体"/>
                <w:sz w:val="21"/>
                <w:szCs w:val="21"/>
              </w:rPr>
            </w:pPr>
            <w:r>
              <w:rPr>
                <w:rFonts w:hint="eastAsia" w:ascii="黑体" w:hAnsi="黑体" w:eastAsia="黑体" w:cs="黑体"/>
                <w:sz w:val="21"/>
                <w:szCs w:val="21"/>
              </w:rPr>
              <w:t>3.成绩计算公式为“体能测试总成绩=考生三项体能测试得分合计÷三项体能测试得分合计最高分×100”。</w:t>
            </w:r>
          </w:p>
          <w:p w14:paraId="027BEFD1">
            <w:pPr>
              <w:pStyle w:val="4"/>
              <w:pageBreakBefore w:val="0"/>
              <w:kinsoku/>
              <w:wordWrap/>
              <w:overflowPunct/>
              <w:topLinePunct w:val="0"/>
              <w:bidi w:val="0"/>
              <w:spacing w:line="240" w:lineRule="auto"/>
              <w:ind w:firstLine="0" w:firstLineChars="0"/>
            </w:pPr>
            <w:r>
              <w:rPr>
                <w:rFonts w:hint="eastAsia" w:ascii="黑体" w:hAnsi="黑体" w:eastAsia="黑体" w:cs="黑体"/>
                <w:spacing w:val="5"/>
                <w:sz w:val="21"/>
                <w:szCs w:val="21"/>
              </w:rPr>
              <w:t>4.体能测试总成绩采取百分制计分，保留小数点后两位小数，尾数四舍五入。</w:t>
            </w:r>
          </w:p>
        </w:tc>
      </w:tr>
    </w:tbl>
    <w:p w14:paraId="12A67E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23E6CAF-5F6D-4AEB-BE67-2F95BD013ADB}"/>
  </w:font>
  <w:font w:name="黑体">
    <w:panose1 w:val="02010609060101010101"/>
    <w:charset w:val="86"/>
    <w:family w:val="auto"/>
    <w:pitch w:val="default"/>
    <w:sig w:usb0="800002BF" w:usb1="38CF7CFA" w:usb2="00000016" w:usb3="00000000" w:csb0="00040001" w:csb1="00000000"/>
    <w:embedRegular r:id="rId2" w:fontKey="{F40730A9-A295-4A93-97C5-FFD10453B8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36BFEE0E-6D85-41B8-83F2-9D9F785AE78E}"/>
  </w:font>
  <w:font w:name="仿宋_GB2312">
    <w:altName w:val="仿宋"/>
    <w:panose1 w:val="02010609030101010101"/>
    <w:charset w:val="86"/>
    <w:family w:val="modern"/>
    <w:pitch w:val="default"/>
    <w:sig w:usb0="00000000" w:usb1="00000000" w:usb2="00000000" w:usb3="00000000" w:csb0="00040000" w:csb1="00000000"/>
    <w:embedRegular r:id="rId4" w:fontKey="{D2FE4AB8-E308-4B14-9426-2AFDD37680F4}"/>
  </w:font>
  <w:font w:name="方正小标宋_GBK">
    <w:panose1 w:val="02000000000000000000"/>
    <w:charset w:val="86"/>
    <w:family w:val="script"/>
    <w:pitch w:val="default"/>
    <w:sig w:usb0="A00002BF" w:usb1="38CF7CFA" w:usb2="00082016" w:usb3="00000000" w:csb0="00040001" w:csb1="00000000"/>
    <w:embedRegular r:id="rId5" w:fontKey="{AF7C1D1E-223F-4784-93D2-19F52362088C}"/>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503AAB"/>
    <w:rsid w:val="0D503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3" w:lineRule="auto"/>
      <w:outlineLvl w:val="2"/>
    </w:pPr>
    <w:rPr>
      <w:b/>
      <w:sz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autoSpaceDE w:val="0"/>
      <w:autoSpaceDN w:val="0"/>
      <w:adjustRightInd w:val="0"/>
      <w:snapToGrid w:val="0"/>
      <w:spacing w:line="600" w:lineRule="atLeast"/>
    </w:pPr>
    <w:rPr>
      <w:rFonts w:ascii="宋体" w:hAnsi="Times New Roman" w:cs="Times New Roman"/>
      <w:spacing w:val="5"/>
      <w:sz w:val="32"/>
    </w:rPr>
  </w:style>
  <w:style w:type="paragraph" w:styleId="4">
    <w:name w:val="Body Text First Indent 2"/>
    <w:basedOn w:val="5"/>
    <w:qFormat/>
    <w:uiPriority w:val="0"/>
    <w:pPr>
      <w:ind w:firstLine="420"/>
    </w:pPr>
    <w:rPr>
      <w:rFonts w:ascii="仿宋_GB2312" w:hAnsi="宋体" w:eastAsia="仿宋_GB2312" w:cs="Times New Roman"/>
      <w:sz w:val="30"/>
      <w:szCs w:val="30"/>
    </w:rPr>
  </w:style>
  <w:style w:type="paragraph" w:styleId="5">
    <w:name w:val="Body Text Indent"/>
    <w:basedOn w:val="1"/>
    <w:qFormat/>
    <w:uiPriority w:val="0"/>
    <w:pPr>
      <w:spacing w:line="540" w:lineRule="exact"/>
      <w:ind w:firstLine="480" w:firstLineChars="200"/>
    </w:pPr>
    <w:rPr>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2025-09-08T08:21:00Z</dcterms:created>
  <dc:creator>松鼠的尾巴</dc:creator>
  <cp:lastModifiedBy>松鼠的尾巴</cp:lastModifiedBy>
  <dcterms:modified xsi:type="dcterms:W3CDTF">2025-09-08T08:28:21Z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42DF5C0507A04DD09D54B34E9599B3C7_11</vt:lpwstr>
  </property>
  <property fmtid="{D5CDD505-2E9C-101B-9397-08002B2CF9AE}" pid="4" name="KSOTemplateDocerSaveRecord">
    <vt:lpwstr>eyJoZGlkIjoiODBhZTVmMTExNDUwYTVhODI4Njg3NjE2NWM2MjVlOGQiLCJ1c2VySWQiOiI0NjE2NDkyMjkifQ==</vt:lpwstr>
  </property>
</Properties>
</file>