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5086A4">
      <w:pPr>
        <w:keepNext w:val="0"/>
        <w:keepLines w:val="0"/>
        <w:pageBreakBefore w:val="0"/>
        <w:widowControl w:val="0"/>
        <w:kinsoku/>
        <w:wordWrap/>
        <w:overflowPunct/>
        <w:topLinePunct w:val="0"/>
        <w:autoSpaceDE/>
        <w:autoSpaceDN/>
        <w:bidi w:val="0"/>
        <w:adjustRightInd w:val="0"/>
        <w:snapToGrid w:val="0"/>
        <w:spacing w:line="620" w:lineRule="atLeast"/>
        <w:jc w:val="both"/>
        <w:textAlignment w:val="auto"/>
        <w:rPr>
          <w:rFonts w:hint="eastAsia" w:ascii="方正小标宋简体" w:hAnsi="方正小标宋简体" w:eastAsia="方正小标宋简体" w:cs="方正小标宋简体"/>
          <w:kern w:val="0"/>
          <w:sz w:val="36"/>
          <w:szCs w:val="36"/>
          <w:lang w:eastAsia="zh-CN"/>
        </w:rPr>
      </w:pPr>
      <w:bookmarkStart w:id="0" w:name="_GoBack"/>
      <w:bookmarkEnd w:id="0"/>
      <w:r>
        <w:rPr>
          <w:rFonts w:hint="eastAsia" w:ascii="方正小标宋简体" w:hAnsi="方正小标宋简体" w:eastAsia="方正小标宋简体" w:cs="方正小标宋简体"/>
          <w:kern w:val="0"/>
          <w:sz w:val="36"/>
          <w:szCs w:val="36"/>
        </w:rPr>
        <w:t>辽宁中医药大学2025年自主招聘工作人员</w:t>
      </w:r>
      <w:r>
        <w:rPr>
          <w:rFonts w:hint="eastAsia" w:ascii="方正小标宋简体" w:hAnsi="方正小标宋简体" w:eastAsia="方正小标宋简体" w:cs="方正小标宋简体"/>
          <w:kern w:val="0"/>
          <w:sz w:val="36"/>
          <w:szCs w:val="36"/>
          <w:lang w:eastAsia="zh-CN"/>
        </w:rPr>
        <w:t>（</w:t>
      </w:r>
      <w:r>
        <w:rPr>
          <w:rFonts w:hint="eastAsia" w:ascii="方正小标宋简体" w:hAnsi="方正小标宋简体" w:eastAsia="方正小标宋简体" w:cs="方正小标宋简体"/>
          <w:kern w:val="0"/>
          <w:sz w:val="36"/>
          <w:szCs w:val="36"/>
          <w:lang w:val="en-US" w:eastAsia="zh-CN"/>
        </w:rPr>
        <w:t>第二批</w:t>
      </w:r>
      <w:r>
        <w:rPr>
          <w:rFonts w:hint="eastAsia" w:ascii="方正小标宋简体" w:hAnsi="方正小标宋简体" w:eastAsia="方正小标宋简体" w:cs="方正小标宋简体"/>
          <w:kern w:val="0"/>
          <w:sz w:val="36"/>
          <w:szCs w:val="36"/>
          <w:lang w:eastAsia="zh-CN"/>
        </w:rPr>
        <w:t>）</w:t>
      </w:r>
    </w:p>
    <w:p w14:paraId="4F475DD9">
      <w:pPr>
        <w:keepNext w:val="0"/>
        <w:keepLines w:val="0"/>
        <w:pageBreakBefore w:val="0"/>
        <w:widowControl w:val="0"/>
        <w:kinsoku/>
        <w:wordWrap/>
        <w:overflowPunct/>
        <w:topLinePunct w:val="0"/>
        <w:autoSpaceDE/>
        <w:autoSpaceDN/>
        <w:bidi w:val="0"/>
        <w:adjustRightInd w:val="0"/>
        <w:snapToGrid w:val="0"/>
        <w:spacing w:line="620" w:lineRule="atLeast"/>
        <w:ind w:left="0" w:leftChars="0" w:firstLine="0" w:firstLineChars="0"/>
        <w:jc w:val="center"/>
        <w:textAlignment w:val="auto"/>
        <w:rPr>
          <w:rFonts w:ascii="宋体" w:cs="Tahoma"/>
          <w:b/>
          <w:bCs/>
          <w:kern w:val="0"/>
          <w:sz w:val="32"/>
          <w:szCs w:val="32"/>
        </w:rPr>
      </w:pPr>
      <w:r>
        <w:rPr>
          <w:rFonts w:hint="eastAsia" w:ascii="方正小标宋简体" w:hAnsi="方正小标宋简体" w:eastAsia="方正小标宋简体" w:cs="方正小标宋简体"/>
          <w:kern w:val="0"/>
          <w:sz w:val="36"/>
          <w:szCs w:val="36"/>
        </w:rPr>
        <w:t>考生应聘指南</w:t>
      </w:r>
    </w:p>
    <w:p w14:paraId="7FE8220C">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ascii="宋体" w:cs="Tahoma"/>
          <w:kern w:val="0"/>
          <w:sz w:val="28"/>
          <w:szCs w:val="28"/>
        </w:rPr>
      </w:pPr>
      <w:r>
        <w:rPr>
          <w:rFonts w:hint="eastAsia" w:ascii="宋体" w:hAnsi="宋体" w:cs="Tahoma"/>
          <w:kern w:val="0"/>
          <w:sz w:val="28"/>
          <w:szCs w:val="28"/>
        </w:rPr>
        <w:t>辽宁中医药大学2025年自主招聘工作人员</w:t>
      </w:r>
      <w:r>
        <w:rPr>
          <w:rFonts w:hint="eastAsia" w:ascii="宋体" w:hAnsi="宋体" w:cs="Tahoma"/>
          <w:kern w:val="0"/>
          <w:sz w:val="28"/>
          <w:szCs w:val="28"/>
          <w:lang w:eastAsia="zh-CN"/>
        </w:rPr>
        <w:t>（</w:t>
      </w:r>
      <w:r>
        <w:rPr>
          <w:rFonts w:hint="eastAsia" w:ascii="宋体" w:hAnsi="宋体" w:cs="Tahoma"/>
          <w:kern w:val="0"/>
          <w:sz w:val="28"/>
          <w:szCs w:val="28"/>
          <w:lang w:val="en-US" w:eastAsia="zh-CN"/>
        </w:rPr>
        <w:t>第二批</w:t>
      </w:r>
      <w:r>
        <w:rPr>
          <w:rFonts w:hint="eastAsia" w:ascii="宋体" w:hAnsi="宋体" w:cs="Tahoma"/>
          <w:kern w:val="0"/>
          <w:sz w:val="28"/>
          <w:szCs w:val="28"/>
          <w:lang w:eastAsia="zh-CN"/>
        </w:rPr>
        <w:t>）</w:t>
      </w:r>
      <w:r>
        <w:rPr>
          <w:rFonts w:hint="eastAsia" w:ascii="宋体" w:hAnsi="宋体" w:cs="Tahoma"/>
          <w:kern w:val="0"/>
          <w:sz w:val="28"/>
          <w:szCs w:val="28"/>
        </w:rPr>
        <w:t>公告及计划信息表已在辽宁中医药大学人事处网站发布。现将本次招聘有关事项说明如下：</w:t>
      </w:r>
    </w:p>
    <w:p w14:paraId="076F2CDC">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jc w:val="left"/>
        <w:textAlignment w:val="auto"/>
        <w:rPr>
          <w:rFonts w:hint="eastAsia" w:ascii="黑体" w:hAnsi="黑体" w:eastAsia="黑体" w:cs="黑体"/>
          <w:b w:val="0"/>
          <w:bCs w:val="0"/>
          <w:kern w:val="0"/>
          <w:sz w:val="20"/>
          <w:szCs w:val="20"/>
        </w:rPr>
      </w:pPr>
      <w:r>
        <w:rPr>
          <w:rFonts w:hint="eastAsia" w:ascii="黑体" w:hAnsi="黑体" w:eastAsia="黑体" w:cs="黑体"/>
          <w:b w:val="0"/>
          <w:bCs w:val="0"/>
          <w:kern w:val="0"/>
          <w:sz w:val="28"/>
          <w:szCs w:val="28"/>
        </w:rPr>
        <w:t>一、公告和计划信息表</w:t>
      </w:r>
    </w:p>
    <w:p w14:paraId="4F18A932">
      <w:pPr>
        <w:keepNext w:val="0"/>
        <w:keepLines w:val="0"/>
        <w:pageBreakBefore w:val="0"/>
        <w:widowControl w:val="0"/>
        <w:shd w:val="clear" w:color="auto" w:fill="FFFFFF"/>
        <w:kinsoku/>
        <w:wordWrap/>
        <w:overflowPunct/>
        <w:topLinePunct w:val="0"/>
        <w:autoSpaceDE/>
        <w:autoSpaceDN/>
        <w:bidi w:val="0"/>
        <w:snapToGrid w:val="0"/>
        <w:spacing w:line="620" w:lineRule="atLeast"/>
        <w:ind w:firstLine="560" w:firstLineChars="200"/>
        <w:textAlignment w:val="auto"/>
        <w:rPr>
          <w:rFonts w:hint="eastAsia" w:ascii="仿宋_GB2312" w:hAnsi="仿宋" w:eastAsia="仿宋_GB2312"/>
          <w:sz w:val="32"/>
          <w:szCs w:val="32"/>
        </w:rPr>
      </w:pPr>
      <w:r>
        <w:rPr>
          <w:rFonts w:hint="eastAsia" w:ascii="宋体" w:hAnsi="宋体" w:cs="Tahoma"/>
          <w:kern w:val="0"/>
          <w:sz w:val="28"/>
          <w:szCs w:val="28"/>
        </w:rPr>
        <w:t>请各位应聘者首先认真阅读《辽宁中医药大学2025年自主招聘工作人员</w:t>
      </w:r>
      <w:r>
        <w:rPr>
          <w:rFonts w:hint="eastAsia" w:ascii="宋体" w:hAnsi="宋体" w:cs="Tahoma"/>
          <w:kern w:val="0"/>
          <w:sz w:val="28"/>
          <w:szCs w:val="28"/>
          <w:lang w:eastAsia="zh-CN"/>
        </w:rPr>
        <w:t>（</w:t>
      </w:r>
      <w:r>
        <w:rPr>
          <w:rFonts w:hint="eastAsia" w:ascii="宋体" w:hAnsi="宋体" w:cs="Tahoma"/>
          <w:kern w:val="0"/>
          <w:sz w:val="28"/>
          <w:szCs w:val="28"/>
          <w:lang w:val="en-US" w:eastAsia="zh-CN"/>
        </w:rPr>
        <w:t>第二批</w:t>
      </w:r>
      <w:r>
        <w:rPr>
          <w:rFonts w:hint="eastAsia" w:ascii="宋体" w:hAnsi="宋体" w:cs="Tahoma"/>
          <w:kern w:val="0"/>
          <w:sz w:val="28"/>
          <w:szCs w:val="28"/>
          <w:lang w:eastAsia="zh-CN"/>
        </w:rPr>
        <w:t>）</w:t>
      </w:r>
      <w:r>
        <w:rPr>
          <w:rFonts w:hint="eastAsia" w:ascii="宋体" w:hAnsi="宋体" w:cs="Tahoma"/>
          <w:kern w:val="0"/>
          <w:sz w:val="28"/>
          <w:szCs w:val="28"/>
        </w:rPr>
        <w:t>公告》和《辽宁中医药大学2025年自主招聘</w:t>
      </w:r>
      <w:r>
        <w:rPr>
          <w:rFonts w:hint="eastAsia" w:ascii="宋体" w:hAnsi="宋体" w:cs="Tahoma"/>
          <w:kern w:val="0"/>
          <w:sz w:val="28"/>
          <w:szCs w:val="28"/>
          <w:lang w:val="en-US" w:eastAsia="zh-CN"/>
        </w:rPr>
        <w:t>工作人员</w:t>
      </w:r>
      <w:r>
        <w:rPr>
          <w:rFonts w:hint="eastAsia" w:ascii="宋体" w:hAnsi="宋体" w:cs="Tahoma"/>
          <w:kern w:val="0"/>
          <w:sz w:val="28"/>
          <w:szCs w:val="28"/>
          <w:lang w:eastAsia="zh-CN"/>
        </w:rPr>
        <w:t>（</w:t>
      </w:r>
      <w:r>
        <w:rPr>
          <w:rFonts w:hint="eastAsia" w:ascii="宋体" w:hAnsi="宋体" w:cs="Tahoma"/>
          <w:kern w:val="0"/>
          <w:sz w:val="28"/>
          <w:szCs w:val="28"/>
          <w:lang w:val="en-US" w:eastAsia="zh-CN"/>
        </w:rPr>
        <w:t>第二批</w:t>
      </w:r>
      <w:r>
        <w:rPr>
          <w:rFonts w:hint="eastAsia" w:ascii="宋体" w:hAnsi="宋体" w:cs="Tahoma"/>
          <w:kern w:val="0"/>
          <w:sz w:val="28"/>
          <w:szCs w:val="28"/>
          <w:lang w:eastAsia="zh-CN"/>
        </w:rPr>
        <w:t>）</w:t>
      </w:r>
      <w:r>
        <w:rPr>
          <w:rFonts w:hint="eastAsia" w:ascii="宋体" w:hAnsi="宋体" w:cs="Tahoma"/>
          <w:kern w:val="0"/>
          <w:sz w:val="28"/>
          <w:szCs w:val="28"/>
        </w:rPr>
        <w:t>计划信息表》以及本网站发布的通知通告，详细了解有关政策和报考条件后，再进行报名。</w:t>
      </w:r>
      <w:r>
        <w:rPr>
          <w:rFonts w:hint="eastAsia" w:ascii="宋体" w:hAnsi="宋体" w:cs="Tahoma"/>
          <w:color w:val="0070C0"/>
          <w:kern w:val="0"/>
          <w:sz w:val="28"/>
          <w:szCs w:val="28"/>
        </w:rPr>
        <w:t>每名应聘者限报一个岗位。</w:t>
      </w:r>
      <w:r>
        <w:rPr>
          <w:rFonts w:hint="eastAsia" w:ascii="宋体" w:hAnsi="宋体" w:cs="Tahoma"/>
          <w:kern w:val="0"/>
          <w:sz w:val="28"/>
          <w:szCs w:val="28"/>
        </w:rPr>
        <w:t>为了提高答复效率，工作人员对公告中已明确说明的问题不予答复，敬请谅解！对于从其他途径获得的关于招聘的有关信息，我校将不予解答并且不对该信息负责。</w:t>
      </w:r>
    </w:p>
    <w:p w14:paraId="001FC2A0">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jc w:val="left"/>
        <w:textAlignment w:val="auto"/>
        <w:rPr>
          <w:rFonts w:hint="eastAsia" w:ascii="黑体" w:hAnsi="黑体" w:eastAsia="黑体" w:cs="黑体"/>
          <w:b w:val="0"/>
          <w:bCs/>
          <w:color w:val="333333"/>
          <w:kern w:val="0"/>
          <w:sz w:val="28"/>
          <w:szCs w:val="28"/>
        </w:rPr>
      </w:pPr>
      <w:r>
        <w:rPr>
          <w:rFonts w:hint="eastAsia" w:ascii="黑体" w:hAnsi="黑体" w:eastAsia="黑体" w:cs="黑体"/>
          <w:b w:val="0"/>
          <w:bCs/>
          <w:color w:val="333333"/>
          <w:kern w:val="0"/>
          <w:sz w:val="28"/>
          <w:szCs w:val="28"/>
        </w:rPr>
        <w:t>二、招聘程序</w:t>
      </w:r>
    </w:p>
    <w:p w14:paraId="5D7A3756">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ascii="宋体" w:cs="Tahoma"/>
          <w:kern w:val="0"/>
          <w:sz w:val="28"/>
          <w:szCs w:val="28"/>
        </w:rPr>
      </w:pPr>
      <w:r>
        <w:rPr>
          <w:rFonts w:ascii="宋体" w:hAnsi="宋体" w:cs="Tahoma"/>
          <w:kern w:val="0"/>
          <w:sz w:val="28"/>
          <w:szCs w:val="28"/>
        </w:rPr>
        <w:t>1.</w:t>
      </w:r>
      <w:r>
        <w:rPr>
          <w:rFonts w:hint="eastAsia" w:ascii="宋体" w:hAnsi="宋体" w:cs="Tahoma"/>
          <w:kern w:val="0"/>
          <w:sz w:val="28"/>
          <w:szCs w:val="28"/>
        </w:rPr>
        <w:t>发布招聘信息；</w:t>
      </w:r>
    </w:p>
    <w:p w14:paraId="34A9B576">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ascii="宋体" w:hAnsi="宋体" w:cs="Tahoma"/>
          <w:kern w:val="0"/>
          <w:sz w:val="28"/>
          <w:szCs w:val="28"/>
        </w:rPr>
        <w:t>2.</w:t>
      </w:r>
      <w:r>
        <w:rPr>
          <w:rFonts w:hint="eastAsia" w:ascii="宋体" w:hAnsi="宋体" w:cs="Tahoma"/>
          <w:kern w:val="0"/>
          <w:sz w:val="28"/>
          <w:szCs w:val="28"/>
        </w:rPr>
        <w:t>网上报名；</w:t>
      </w:r>
    </w:p>
    <w:p w14:paraId="6DA34236">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3.资格审查网上初审（报名审核）；</w:t>
      </w:r>
    </w:p>
    <w:p w14:paraId="2B30035C">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4.笔试；</w:t>
      </w:r>
    </w:p>
    <w:p w14:paraId="6BFDB011">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ascii="宋体" w:cs="Tahoma"/>
          <w:kern w:val="0"/>
          <w:sz w:val="28"/>
          <w:szCs w:val="28"/>
        </w:rPr>
      </w:pPr>
      <w:r>
        <w:rPr>
          <w:rFonts w:hint="eastAsia" w:ascii="宋体" w:hAnsi="宋体" w:cs="Tahoma"/>
          <w:kern w:val="0"/>
          <w:sz w:val="28"/>
          <w:szCs w:val="28"/>
        </w:rPr>
        <w:t>5.公布笔试成绩；</w:t>
      </w:r>
    </w:p>
    <w:p w14:paraId="7E587F99">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ascii="宋体" w:cs="Tahoma"/>
          <w:color w:val="auto"/>
          <w:kern w:val="0"/>
          <w:sz w:val="28"/>
          <w:szCs w:val="28"/>
        </w:rPr>
      </w:pPr>
      <w:r>
        <w:rPr>
          <w:rFonts w:hint="eastAsia" w:ascii="宋体" w:hAnsi="宋体" w:cs="Tahoma"/>
          <w:color w:val="auto"/>
          <w:kern w:val="0"/>
          <w:sz w:val="28"/>
          <w:szCs w:val="28"/>
        </w:rPr>
        <w:t>6</w:t>
      </w:r>
      <w:r>
        <w:rPr>
          <w:rFonts w:ascii="宋体" w:hAnsi="宋体" w:cs="Tahoma"/>
          <w:color w:val="auto"/>
          <w:kern w:val="0"/>
          <w:sz w:val="28"/>
          <w:szCs w:val="28"/>
        </w:rPr>
        <w:t>.</w:t>
      </w:r>
      <w:r>
        <w:rPr>
          <w:rFonts w:hint="eastAsia" w:ascii="宋体" w:hAnsi="宋体" w:cs="Tahoma"/>
          <w:color w:val="auto"/>
          <w:kern w:val="0"/>
          <w:sz w:val="28"/>
          <w:szCs w:val="28"/>
        </w:rPr>
        <w:t>资格审查复审；</w:t>
      </w:r>
    </w:p>
    <w:p w14:paraId="24240180">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color w:val="auto"/>
          <w:kern w:val="0"/>
          <w:sz w:val="28"/>
          <w:szCs w:val="28"/>
        </w:rPr>
      </w:pPr>
      <w:r>
        <w:rPr>
          <w:rFonts w:hint="eastAsia" w:ascii="宋体" w:hAnsi="宋体" w:cs="Tahoma"/>
          <w:color w:val="auto"/>
          <w:kern w:val="0"/>
          <w:sz w:val="28"/>
          <w:szCs w:val="28"/>
        </w:rPr>
        <w:t>7</w:t>
      </w:r>
      <w:r>
        <w:rPr>
          <w:rFonts w:ascii="宋体" w:cs="Tahoma"/>
          <w:color w:val="auto"/>
          <w:kern w:val="0"/>
          <w:sz w:val="28"/>
          <w:szCs w:val="28"/>
        </w:rPr>
        <w:t>.</w:t>
      </w:r>
      <w:r>
        <w:rPr>
          <w:rFonts w:hint="eastAsia" w:ascii="宋体" w:hAnsi="宋体" w:cs="Tahoma"/>
          <w:color w:val="auto"/>
          <w:kern w:val="0"/>
          <w:sz w:val="28"/>
          <w:szCs w:val="28"/>
        </w:rPr>
        <w:t>业务水平考核（第一轮面试）；</w:t>
      </w:r>
    </w:p>
    <w:p w14:paraId="145A5B27">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ascii="宋体" w:cs="Tahoma"/>
          <w:color w:val="auto"/>
          <w:kern w:val="0"/>
          <w:sz w:val="28"/>
          <w:szCs w:val="28"/>
        </w:rPr>
      </w:pPr>
      <w:r>
        <w:rPr>
          <w:rFonts w:hint="eastAsia" w:ascii="宋体" w:hAnsi="宋体" w:cs="Tahoma"/>
          <w:color w:val="auto"/>
          <w:kern w:val="0"/>
          <w:sz w:val="28"/>
          <w:szCs w:val="28"/>
        </w:rPr>
        <w:t>8.综合素质考核（第二轮面试）；</w:t>
      </w:r>
    </w:p>
    <w:p w14:paraId="69679DDD">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ascii="宋体" w:cs="Tahoma"/>
          <w:kern w:val="0"/>
          <w:sz w:val="28"/>
          <w:szCs w:val="28"/>
        </w:rPr>
      </w:pPr>
      <w:r>
        <w:rPr>
          <w:rFonts w:hint="eastAsia" w:ascii="宋体" w:hAnsi="宋体" w:cs="Tahoma"/>
          <w:kern w:val="0"/>
          <w:sz w:val="28"/>
          <w:szCs w:val="28"/>
        </w:rPr>
        <w:t>9</w:t>
      </w:r>
      <w:r>
        <w:rPr>
          <w:rFonts w:ascii="宋体" w:cs="Tahoma"/>
          <w:kern w:val="0"/>
          <w:sz w:val="28"/>
          <w:szCs w:val="28"/>
        </w:rPr>
        <w:t>.</w:t>
      </w:r>
      <w:r>
        <w:rPr>
          <w:rFonts w:hint="eastAsia" w:ascii="宋体" w:hAnsi="宋体" w:cs="Tahoma"/>
          <w:kern w:val="0"/>
          <w:sz w:val="28"/>
          <w:szCs w:val="28"/>
        </w:rPr>
        <w:t>体检；</w:t>
      </w:r>
    </w:p>
    <w:p w14:paraId="4720180D">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ascii="宋体" w:cs="Tahoma"/>
          <w:kern w:val="0"/>
          <w:sz w:val="28"/>
          <w:szCs w:val="28"/>
        </w:rPr>
      </w:pPr>
      <w:r>
        <w:rPr>
          <w:rFonts w:hint="eastAsia" w:ascii="宋体" w:hAnsi="宋体" w:cs="Tahoma"/>
          <w:kern w:val="0"/>
          <w:sz w:val="28"/>
          <w:szCs w:val="28"/>
        </w:rPr>
        <w:t>10</w:t>
      </w:r>
      <w:r>
        <w:rPr>
          <w:rFonts w:ascii="宋体" w:hAnsi="宋体" w:cs="Tahoma"/>
          <w:kern w:val="0"/>
          <w:sz w:val="28"/>
          <w:szCs w:val="28"/>
        </w:rPr>
        <w:t>.</w:t>
      </w:r>
      <w:r>
        <w:rPr>
          <w:rFonts w:hint="eastAsia" w:ascii="宋体" w:hAnsi="宋体" w:cs="Tahoma"/>
          <w:kern w:val="0"/>
          <w:sz w:val="28"/>
          <w:szCs w:val="28"/>
        </w:rPr>
        <w:t>考察；</w:t>
      </w:r>
    </w:p>
    <w:p w14:paraId="354792B9">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ascii="宋体" w:cs="Tahoma"/>
          <w:kern w:val="0"/>
          <w:sz w:val="28"/>
          <w:szCs w:val="28"/>
        </w:rPr>
      </w:pPr>
      <w:r>
        <w:rPr>
          <w:rFonts w:hint="eastAsia" w:ascii="宋体" w:hAnsi="宋体" w:cs="Tahoma"/>
          <w:kern w:val="0"/>
          <w:sz w:val="28"/>
          <w:szCs w:val="28"/>
        </w:rPr>
        <w:t>11</w:t>
      </w:r>
      <w:r>
        <w:rPr>
          <w:rFonts w:ascii="宋体" w:cs="Tahoma"/>
          <w:kern w:val="0"/>
          <w:sz w:val="28"/>
          <w:szCs w:val="28"/>
        </w:rPr>
        <w:t>.</w:t>
      </w:r>
      <w:r>
        <w:rPr>
          <w:rFonts w:hint="eastAsia" w:ascii="宋体" w:hAnsi="宋体" w:cs="Tahoma"/>
          <w:kern w:val="0"/>
          <w:sz w:val="28"/>
          <w:szCs w:val="28"/>
        </w:rPr>
        <w:t>公示；</w:t>
      </w:r>
    </w:p>
    <w:p w14:paraId="15D4A18B">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ascii="宋体" w:cs="Tahoma"/>
          <w:kern w:val="0"/>
          <w:sz w:val="28"/>
          <w:szCs w:val="28"/>
        </w:rPr>
      </w:pPr>
      <w:r>
        <w:rPr>
          <w:rFonts w:hint="eastAsia" w:ascii="宋体" w:hAnsi="宋体" w:cs="Tahoma"/>
          <w:kern w:val="0"/>
          <w:sz w:val="28"/>
          <w:szCs w:val="28"/>
        </w:rPr>
        <w:t>12</w:t>
      </w:r>
      <w:r>
        <w:rPr>
          <w:rFonts w:ascii="宋体" w:cs="Tahoma"/>
          <w:kern w:val="0"/>
          <w:sz w:val="28"/>
          <w:szCs w:val="28"/>
        </w:rPr>
        <w:t>.</w:t>
      </w:r>
      <w:r>
        <w:rPr>
          <w:rFonts w:hint="eastAsia" w:ascii="宋体" w:hAnsi="宋体" w:cs="Tahoma"/>
          <w:kern w:val="0"/>
          <w:sz w:val="28"/>
          <w:szCs w:val="28"/>
        </w:rPr>
        <w:t>办理录用手续。</w:t>
      </w:r>
    </w:p>
    <w:p w14:paraId="19461F46">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jc w:val="left"/>
        <w:textAlignment w:val="auto"/>
        <w:rPr>
          <w:rFonts w:hint="eastAsia" w:ascii="黑体" w:hAnsi="黑体" w:eastAsia="黑体" w:cs="黑体"/>
          <w:b w:val="0"/>
          <w:bCs w:val="0"/>
          <w:kern w:val="0"/>
          <w:sz w:val="28"/>
          <w:szCs w:val="28"/>
        </w:rPr>
      </w:pPr>
      <w:r>
        <w:rPr>
          <w:rFonts w:hint="eastAsia" w:ascii="黑体" w:hAnsi="黑体" w:eastAsia="黑体" w:cs="黑体"/>
          <w:b w:val="0"/>
          <w:bCs w:val="0"/>
          <w:kern w:val="0"/>
          <w:sz w:val="28"/>
          <w:szCs w:val="28"/>
        </w:rPr>
        <w:t>三、报名</w:t>
      </w:r>
    </w:p>
    <w:p w14:paraId="322A88BD">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ascii="宋体" w:hAnsi="宋体" w:cs="Tahoma"/>
          <w:kern w:val="0"/>
          <w:sz w:val="28"/>
          <w:szCs w:val="28"/>
        </w:rPr>
        <w:t>1.</w:t>
      </w:r>
      <w:r>
        <w:rPr>
          <w:rFonts w:hint="eastAsia" w:ascii="宋体" w:hAnsi="宋体" w:cs="Tahoma"/>
          <w:kern w:val="0"/>
          <w:sz w:val="28"/>
          <w:szCs w:val="28"/>
        </w:rPr>
        <w:t>报名须通过我校招聘报名系统（</w:t>
      </w:r>
      <w:r>
        <w:rPr>
          <w:rFonts w:hint="eastAsia" w:ascii="仿宋_GB2312" w:hAnsi="仿宋" w:eastAsia="仿宋_GB2312"/>
          <w:sz w:val="32"/>
          <w:szCs w:val="32"/>
        </w:rPr>
        <w:t>https://zhaopin.lnutcm.edu.cn:7874/</w:t>
      </w:r>
      <w:r>
        <w:rPr>
          <w:rFonts w:hint="eastAsia" w:ascii="宋体" w:hAnsi="宋体" w:cs="Tahoma"/>
          <w:kern w:val="0"/>
          <w:sz w:val="28"/>
          <w:szCs w:val="28"/>
        </w:rPr>
        <w:t>）进行，我单位不接收其他渠道报名。对于具有博士学位或者副高级及以上专业技术资格者，报考考试考核类岗位，同样需要参加该岗位的笔试。</w:t>
      </w:r>
    </w:p>
    <w:p w14:paraId="24CC7901">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ascii="宋体" w:cs="Tahoma"/>
          <w:kern w:val="0"/>
          <w:sz w:val="20"/>
          <w:szCs w:val="20"/>
        </w:rPr>
      </w:pPr>
      <w:r>
        <w:rPr>
          <w:rFonts w:ascii="宋体" w:hAnsi="宋体" w:cs="Tahoma"/>
          <w:kern w:val="0"/>
          <w:sz w:val="28"/>
          <w:szCs w:val="28"/>
        </w:rPr>
        <w:t>2.</w:t>
      </w:r>
      <w:r>
        <w:rPr>
          <w:rFonts w:hint="eastAsia" w:ascii="宋体" w:hAnsi="宋体" w:cs="Tahoma"/>
          <w:kern w:val="0"/>
          <w:sz w:val="28"/>
          <w:szCs w:val="28"/>
        </w:rPr>
        <w:t>应聘者可使用计算机、手机等方式进行报名。为了避免浏览器与招聘系统不兼容，推荐使用谷歌浏览器或360极速浏览器进行报名。在报名过程中，遇到无法选择内容或者无法浏览全部信息等问题，可以尝试重新登录或者与相关工作人员联系。</w:t>
      </w:r>
    </w:p>
    <w:p w14:paraId="534AD3A2">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ascii="宋体" w:hAnsi="宋体" w:cs="Tahoma"/>
          <w:kern w:val="0"/>
          <w:sz w:val="28"/>
          <w:szCs w:val="28"/>
        </w:rPr>
        <w:t>3.</w:t>
      </w:r>
      <w:r>
        <w:rPr>
          <w:rFonts w:hint="eastAsia" w:ascii="宋体" w:hAnsi="宋体" w:cs="Tahoma"/>
          <w:kern w:val="0"/>
          <w:sz w:val="28"/>
          <w:szCs w:val="28"/>
        </w:rPr>
        <w:t>应聘者在报名过程中，请认真填写有关信息，确认填写信息和报考岗位准确无误后，提交报名信息。提交后进入待审核状态，信息将无法修改。我校将对报名信息进行初步审核，通过初步审核后，可以缴纳考务费。</w:t>
      </w:r>
    </w:p>
    <w:p w14:paraId="78A5D77F">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ascii="宋体" w:hAnsi="宋体" w:cs="Tahoma"/>
          <w:kern w:val="0"/>
          <w:sz w:val="28"/>
          <w:szCs w:val="28"/>
        </w:rPr>
        <w:t>4.</w:t>
      </w:r>
      <w:r>
        <w:rPr>
          <w:rFonts w:hint="eastAsia" w:ascii="宋体" w:hAnsi="宋体" w:cs="Tahoma"/>
          <w:kern w:val="0"/>
          <w:sz w:val="28"/>
          <w:szCs w:val="28"/>
        </w:rPr>
        <w:t>笔试考务费为</w:t>
      </w:r>
      <w:r>
        <w:rPr>
          <w:rFonts w:ascii="宋体" w:hAnsi="宋体" w:cs="Tahoma"/>
          <w:kern w:val="0"/>
          <w:sz w:val="28"/>
          <w:szCs w:val="28"/>
        </w:rPr>
        <w:t>100</w:t>
      </w:r>
      <w:r>
        <w:rPr>
          <w:rFonts w:hint="eastAsia" w:ascii="宋体" w:hAnsi="宋体" w:cs="Tahoma"/>
          <w:kern w:val="0"/>
          <w:sz w:val="28"/>
          <w:szCs w:val="28"/>
        </w:rPr>
        <w:t>元</w:t>
      </w:r>
      <w:r>
        <w:rPr>
          <w:rFonts w:ascii="宋体" w:hAnsi="宋体" w:cs="Tahoma"/>
          <w:kern w:val="0"/>
          <w:sz w:val="28"/>
          <w:szCs w:val="28"/>
        </w:rPr>
        <w:t>/</w:t>
      </w:r>
      <w:r>
        <w:rPr>
          <w:rFonts w:hint="eastAsia" w:ascii="宋体" w:hAnsi="宋体" w:cs="Tahoma"/>
          <w:kern w:val="0"/>
          <w:sz w:val="28"/>
          <w:szCs w:val="28"/>
        </w:rPr>
        <w:t>人。享受国家最低生活保障金的城镇家庭应聘者，凭家庭所在地的县（市、区）民政部门出具的享受最低生活保障的证明和低保证可减免考务费用。请在报名截止前发送以上证明材料PDF电子版至邮箱（lnzyrsc@126.com）并电话告知学校人事处，邮件标题为“申请减免笔试考务费-姓名-报名号”，但需先缴纳考务费，待招聘结束后按原缴费途径统一退费。</w:t>
      </w:r>
    </w:p>
    <w:p w14:paraId="0D4927B0">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ascii="宋体" w:cs="Tahoma"/>
          <w:kern w:val="0"/>
          <w:sz w:val="20"/>
          <w:szCs w:val="20"/>
        </w:rPr>
      </w:pPr>
      <w:r>
        <w:rPr>
          <w:rFonts w:hint="eastAsia" w:ascii="宋体" w:hAnsi="宋体" w:cs="Tahoma"/>
          <w:kern w:val="0"/>
          <w:sz w:val="28"/>
          <w:szCs w:val="28"/>
        </w:rPr>
        <w:t>5</w:t>
      </w:r>
      <w:r>
        <w:rPr>
          <w:rFonts w:ascii="宋体" w:cs="Tahoma"/>
          <w:kern w:val="0"/>
          <w:sz w:val="28"/>
          <w:szCs w:val="28"/>
        </w:rPr>
        <w:t>.</w:t>
      </w:r>
      <w:r>
        <w:rPr>
          <w:rFonts w:hint="eastAsia" w:ascii="宋体" w:hAnsi="宋体" w:cs="Tahoma"/>
          <w:kern w:val="0"/>
          <w:sz w:val="28"/>
          <w:szCs w:val="28"/>
        </w:rPr>
        <w:t>报名步骤具体演示：</w:t>
      </w:r>
    </w:p>
    <w:p w14:paraId="4A844ADA">
      <w:pPr>
        <w:keepNext w:val="0"/>
        <w:keepLines w:val="0"/>
        <w:pageBreakBefore w:val="0"/>
        <w:widowControl w:val="0"/>
        <w:kinsoku/>
        <w:wordWrap/>
        <w:overflowPunct/>
        <w:topLinePunct w:val="0"/>
        <w:autoSpaceDE/>
        <w:autoSpaceDN/>
        <w:bidi w:val="0"/>
        <w:snapToGrid w:val="0"/>
        <w:spacing w:line="620" w:lineRule="atLeast"/>
        <w:ind w:firstLine="560" w:firstLineChars="200"/>
        <w:jc w:val="left"/>
        <w:textAlignment w:val="auto"/>
        <w:rPr>
          <w:rFonts w:ascii="宋体" w:cs="Tahoma"/>
          <w:kern w:val="0"/>
          <w:sz w:val="20"/>
          <w:szCs w:val="20"/>
        </w:rPr>
      </w:pPr>
      <w:r>
        <w:rPr>
          <w:rFonts w:hint="eastAsia" w:ascii="宋体" w:hAnsi="宋体" w:cs="Tahoma"/>
          <w:kern w:val="0"/>
          <w:sz w:val="28"/>
          <w:szCs w:val="28"/>
        </w:rPr>
        <w:t>①进入报名系统</w:t>
      </w:r>
    </w:p>
    <w:p w14:paraId="503864B6">
      <w:pPr>
        <w:keepNext w:val="0"/>
        <w:keepLines w:val="0"/>
        <w:pageBreakBefore w:val="0"/>
        <w:widowControl w:val="0"/>
        <w:kinsoku/>
        <w:wordWrap/>
        <w:overflowPunct/>
        <w:topLinePunct w:val="0"/>
        <w:autoSpaceDE/>
        <w:autoSpaceDN/>
        <w:bidi w:val="0"/>
        <w:snapToGrid w:val="0"/>
        <w:spacing w:line="620" w:lineRule="atLeast"/>
        <w:ind w:firstLine="560" w:firstLineChars="200"/>
        <w:jc w:val="left"/>
        <w:textAlignment w:val="auto"/>
        <w:rPr>
          <w:rFonts w:ascii="宋体" w:cs="Tahoma"/>
          <w:kern w:val="0"/>
          <w:sz w:val="20"/>
          <w:szCs w:val="20"/>
        </w:rPr>
      </w:pPr>
      <w:r>
        <w:rPr>
          <w:rFonts w:hint="eastAsia" w:ascii="宋体" w:hAnsi="宋体" w:cs="Tahoma"/>
          <w:kern w:val="0"/>
          <w:sz w:val="28"/>
          <w:szCs w:val="28"/>
        </w:rPr>
        <w:t>进入学校主页，在页面右上方点击“人才招聘”，进入人事处网站。</w:t>
      </w:r>
    </w:p>
    <w:p w14:paraId="1E7C79F4">
      <w:pPr>
        <w:keepNext w:val="0"/>
        <w:keepLines w:val="0"/>
        <w:pageBreakBefore w:val="0"/>
        <w:widowControl w:val="0"/>
        <w:kinsoku/>
        <w:wordWrap/>
        <w:overflowPunct/>
        <w:topLinePunct w:val="0"/>
        <w:autoSpaceDE/>
        <w:autoSpaceDN/>
        <w:bidi w:val="0"/>
        <w:snapToGrid w:val="0"/>
        <w:spacing w:line="620" w:lineRule="atLeast"/>
        <w:ind w:left="0" w:leftChars="0" w:firstLine="0" w:firstLineChars="0"/>
        <w:jc w:val="center"/>
        <w:textAlignment w:val="auto"/>
        <w:rPr>
          <w:rFonts w:ascii="宋体" w:cs="Tahoma"/>
          <w:color w:val="333333"/>
          <w:kern w:val="0"/>
          <w:sz w:val="20"/>
          <w:szCs w:val="20"/>
        </w:rPr>
      </w:pPr>
      <w:r>
        <w:rPr>
          <w:rFonts w:hint="eastAsia" w:ascii="宋体" w:cs="Tahoma"/>
          <w:color w:val="333333"/>
          <w:kern w:val="0"/>
          <w:sz w:val="20"/>
          <w:szCs w:val="20"/>
        </w:rPr>
        <w:drawing>
          <wp:inline distT="0" distB="0" distL="114300" distR="114300">
            <wp:extent cx="5267960" cy="2541905"/>
            <wp:effectExtent l="9525" t="9525" r="18415" b="13970"/>
            <wp:docPr id="8" name="图片 8" descr="微信图片_2024011715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117151925"/>
                    <pic:cNvPicPr>
                      <a:picLocks noChangeAspect="1"/>
                    </pic:cNvPicPr>
                  </pic:nvPicPr>
                  <pic:blipFill>
                    <a:blip r:embed="rId6"/>
                    <a:stretch>
                      <a:fillRect/>
                    </a:stretch>
                  </pic:blipFill>
                  <pic:spPr>
                    <a:xfrm>
                      <a:off x="0" y="0"/>
                      <a:ext cx="5267960" cy="2541905"/>
                    </a:xfrm>
                    <a:prstGeom prst="rect">
                      <a:avLst/>
                    </a:prstGeom>
                    <a:ln>
                      <a:solidFill>
                        <a:schemeClr val="tx1"/>
                      </a:solidFill>
                    </a:ln>
                  </pic:spPr>
                </pic:pic>
              </a:graphicData>
            </a:graphic>
          </wp:inline>
        </w:drawing>
      </w:r>
    </w:p>
    <w:p w14:paraId="285F4555">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ascii="宋体" w:cs="Tahoma"/>
          <w:kern w:val="0"/>
          <w:sz w:val="28"/>
          <w:szCs w:val="28"/>
        </w:rPr>
      </w:pPr>
      <w:r>
        <w:rPr>
          <w:rFonts w:hint="eastAsia" w:ascii="宋体" w:cs="Tahoma"/>
          <w:kern w:val="0"/>
          <w:sz w:val="28"/>
          <w:szCs w:val="28"/>
        </w:rPr>
        <w:t>进入人事处网站后，在页面左下方点击“招聘系统”。</w:t>
      </w:r>
    </w:p>
    <w:p w14:paraId="3FFAF79B">
      <w:pPr>
        <w:keepNext w:val="0"/>
        <w:keepLines w:val="0"/>
        <w:pageBreakBefore w:val="0"/>
        <w:widowControl w:val="0"/>
        <w:kinsoku/>
        <w:wordWrap/>
        <w:overflowPunct/>
        <w:topLinePunct w:val="0"/>
        <w:autoSpaceDE/>
        <w:autoSpaceDN/>
        <w:bidi w:val="0"/>
        <w:snapToGrid w:val="0"/>
        <w:spacing w:line="620" w:lineRule="atLeast"/>
        <w:jc w:val="center"/>
        <w:textAlignment w:val="auto"/>
        <w:rPr>
          <w:rFonts w:hint="eastAsia" w:ascii="宋体" w:hAnsi="宋体" w:cs="Tahoma"/>
          <w:kern w:val="0"/>
          <w:sz w:val="28"/>
          <w:szCs w:val="28"/>
        </w:rPr>
      </w:pPr>
      <w:r>
        <w:drawing>
          <wp:inline distT="0" distB="0" distL="114300" distR="114300">
            <wp:extent cx="5257165" cy="2618740"/>
            <wp:effectExtent l="9525" t="9525" r="16510"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57165" cy="2618740"/>
                    </a:xfrm>
                    <a:prstGeom prst="rect">
                      <a:avLst/>
                    </a:prstGeom>
                    <a:noFill/>
                    <a:ln>
                      <a:solidFill>
                        <a:schemeClr val="tx1"/>
                      </a:solidFill>
                    </a:ln>
                  </pic:spPr>
                </pic:pic>
              </a:graphicData>
            </a:graphic>
          </wp:inline>
        </w:drawing>
      </w:r>
    </w:p>
    <w:p w14:paraId="19F9DA3D">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②注册登录</w:t>
      </w:r>
    </w:p>
    <w:p w14:paraId="21362357">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点击页面右上角的注册按钮，输入本人手机号码或邮箱、密码，点击获取并填写验证码，点击下一步填写关键信息后完成注册，成功后可完善个人详细信息。</w:t>
      </w:r>
    </w:p>
    <w:p w14:paraId="6E545559">
      <w:pPr>
        <w:keepNext w:val="0"/>
        <w:keepLines w:val="0"/>
        <w:pageBreakBefore w:val="0"/>
        <w:widowControl w:val="0"/>
        <w:kinsoku/>
        <w:wordWrap/>
        <w:overflowPunct/>
        <w:topLinePunct w:val="0"/>
        <w:autoSpaceDE/>
        <w:autoSpaceDN/>
        <w:bidi w:val="0"/>
        <w:snapToGrid w:val="0"/>
        <w:spacing w:line="620" w:lineRule="atLeast"/>
        <w:textAlignment w:val="auto"/>
      </w:pPr>
      <w:r>
        <w:drawing>
          <wp:inline distT="0" distB="0" distL="114300" distR="114300">
            <wp:extent cx="5269230" cy="2525395"/>
            <wp:effectExtent l="9525" t="9525" r="1714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9230" cy="2525395"/>
                    </a:xfrm>
                    <a:prstGeom prst="rect">
                      <a:avLst/>
                    </a:prstGeom>
                    <a:noFill/>
                    <a:ln>
                      <a:solidFill>
                        <a:schemeClr val="tx1"/>
                      </a:solidFill>
                    </a:ln>
                  </pic:spPr>
                </pic:pic>
              </a:graphicData>
            </a:graphic>
          </wp:inline>
        </w:drawing>
      </w:r>
    </w:p>
    <w:p w14:paraId="345B3955">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pPr>
      <w:r>
        <w:rPr>
          <w:rFonts w:hint="eastAsia" w:ascii="宋体" w:hAnsi="宋体" w:cs="Tahoma"/>
          <w:kern w:val="0"/>
          <w:sz w:val="28"/>
          <w:szCs w:val="28"/>
        </w:rPr>
        <w:t>其中，应聘类别，可按照本人要应聘的岗位进行选择，例：自主招聘的岗位，即选择“自主招聘”。</w:t>
      </w:r>
    </w:p>
    <w:p w14:paraId="2AB3516A">
      <w:pPr>
        <w:keepNext w:val="0"/>
        <w:keepLines w:val="0"/>
        <w:pageBreakBefore w:val="0"/>
        <w:widowControl w:val="0"/>
        <w:kinsoku/>
        <w:wordWrap/>
        <w:overflowPunct/>
        <w:topLinePunct w:val="0"/>
        <w:autoSpaceDE/>
        <w:autoSpaceDN/>
        <w:bidi w:val="0"/>
        <w:snapToGrid w:val="0"/>
        <w:spacing w:line="620" w:lineRule="atLeast"/>
        <w:ind w:firstLine="420" w:firstLineChars="200"/>
        <w:textAlignment w:val="auto"/>
        <w:rPr>
          <w:rFonts w:hint="eastAsia" w:ascii="宋体" w:hAnsi="宋体" w:cs="Tahoma"/>
          <w:kern w:val="0"/>
          <w:sz w:val="28"/>
          <w:szCs w:val="28"/>
        </w:rPr>
      </w:pPr>
      <w:r>
        <w:rPr>
          <w:rFonts w:hint="eastAsia"/>
        </w:rPr>
        <w:drawing>
          <wp:anchor distT="0" distB="0" distL="114300" distR="114300" simplePos="0" relativeHeight="251661312" behindDoc="0" locked="0" layoutInCell="1" allowOverlap="1">
            <wp:simplePos x="0" y="0"/>
            <wp:positionH relativeFrom="column">
              <wp:posOffset>79375</wp:posOffset>
            </wp:positionH>
            <wp:positionV relativeFrom="paragraph">
              <wp:posOffset>207645</wp:posOffset>
            </wp:positionV>
            <wp:extent cx="5256530" cy="2685415"/>
            <wp:effectExtent l="9525" t="9525" r="17145" b="10160"/>
            <wp:wrapTopAndBottom/>
            <wp:docPr id="7" name="图片 7" descr="174306482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3064827235"/>
                    <pic:cNvPicPr>
                      <a:picLocks noChangeAspect="1"/>
                    </pic:cNvPicPr>
                  </pic:nvPicPr>
                  <pic:blipFill>
                    <a:blip r:embed="rId9"/>
                    <a:stretch>
                      <a:fillRect/>
                    </a:stretch>
                  </pic:blipFill>
                  <pic:spPr>
                    <a:xfrm>
                      <a:off x="0" y="0"/>
                      <a:ext cx="5256530" cy="2685415"/>
                    </a:xfrm>
                    <a:prstGeom prst="rect">
                      <a:avLst/>
                    </a:prstGeom>
                    <a:ln>
                      <a:solidFill>
                        <a:schemeClr val="tx1"/>
                      </a:solidFill>
                    </a:ln>
                  </pic:spPr>
                </pic:pic>
              </a:graphicData>
            </a:graphic>
          </wp:anchor>
        </w:drawing>
      </w:r>
      <w:r>
        <w:rPr>
          <w:rFonts w:hint="eastAsia" w:ascii="宋体" w:hAnsi="宋体" w:cs="Tahoma"/>
          <w:kern w:val="0"/>
          <w:sz w:val="28"/>
          <w:szCs w:val="28"/>
        </w:rPr>
        <w:t>③填写报名资料</w:t>
      </w:r>
    </w:p>
    <w:p w14:paraId="3C4719B0">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登录成功后，点击“个人中心-我的简历”可完善简历信息，请按照要求填写报名信息，红色“*”标记项目为必填项。</w:t>
      </w:r>
      <w:r>
        <w:rPr>
          <w:rFonts w:hint="eastAsia" w:ascii="宋体" w:hAnsi="宋体" w:cs="Tahoma"/>
          <w:color w:val="4F81BD" w:themeColor="accent1"/>
          <w:kern w:val="0"/>
          <w:sz w:val="28"/>
          <w:szCs w:val="28"/>
          <w14:textFill>
            <w14:solidFill>
              <w14:schemeClr w14:val="accent1"/>
            </w14:solidFill>
          </w14:textFill>
        </w:rPr>
        <w:t>学习经历请从大（中）专或大学开始填写至最高学历</w:t>
      </w:r>
      <w:r>
        <w:rPr>
          <w:rFonts w:hint="eastAsia" w:ascii="宋体" w:hAnsi="宋体" w:cs="Tahoma"/>
          <w:kern w:val="0"/>
          <w:sz w:val="28"/>
          <w:szCs w:val="28"/>
        </w:rPr>
        <w:t>，工作经历请按要求对应填写完整。举例如下：</w:t>
      </w:r>
    </w:p>
    <w:p w14:paraId="0EB14809">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学习经历：</w:t>
      </w:r>
    </w:p>
    <w:p w14:paraId="4225459B">
      <w:pPr>
        <w:keepNext w:val="0"/>
        <w:keepLines w:val="0"/>
        <w:pageBreakBefore w:val="0"/>
        <w:widowControl w:val="0"/>
        <w:kinsoku/>
        <w:wordWrap/>
        <w:overflowPunct/>
        <w:topLinePunct w:val="0"/>
        <w:autoSpaceDE/>
        <w:autoSpaceDN/>
        <w:bidi w:val="0"/>
        <w:snapToGrid w:val="0"/>
        <w:spacing w:line="620" w:lineRule="atLeast"/>
        <w:textAlignment w:val="auto"/>
      </w:pPr>
      <w:r>
        <w:rPr>
          <w:rFonts w:hint="eastAsia" w:ascii="宋体" w:hAnsi="宋体" w:cs="Tahoma"/>
          <w:kern w:val="0"/>
          <w:sz w:val="28"/>
          <w:szCs w:val="28"/>
        </w:rPr>
        <w:drawing>
          <wp:inline distT="0" distB="0" distL="114300" distR="114300">
            <wp:extent cx="5271770" cy="4112895"/>
            <wp:effectExtent l="9525" t="9525" r="14605" b="1143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0"/>
                    <a:stretch>
                      <a:fillRect/>
                    </a:stretch>
                  </pic:blipFill>
                  <pic:spPr>
                    <a:xfrm>
                      <a:off x="0" y="0"/>
                      <a:ext cx="5271770" cy="4112895"/>
                    </a:xfrm>
                    <a:prstGeom prst="rect">
                      <a:avLst/>
                    </a:prstGeom>
                    <a:noFill/>
                    <a:ln>
                      <a:solidFill>
                        <a:schemeClr val="tx1"/>
                      </a:solidFill>
                    </a:ln>
                  </pic:spPr>
                </pic:pic>
              </a:graphicData>
            </a:graphic>
          </wp:inline>
        </w:drawing>
      </w:r>
    </w:p>
    <w:p w14:paraId="2AEC17F6">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工作经历：</w:t>
      </w:r>
    </w:p>
    <w:p w14:paraId="3E600B3D">
      <w:pPr>
        <w:keepNext w:val="0"/>
        <w:keepLines w:val="0"/>
        <w:pageBreakBefore w:val="0"/>
        <w:widowControl w:val="0"/>
        <w:kinsoku/>
        <w:wordWrap/>
        <w:overflowPunct/>
        <w:topLinePunct w:val="0"/>
        <w:autoSpaceDE/>
        <w:autoSpaceDN/>
        <w:bidi w:val="0"/>
        <w:snapToGrid w:val="0"/>
        <w:spacing w:line="620" w:lineRule="atLeast"/>
        <w:textAlignment w:val="auto"/>
        <w:rPr>
          <w:rFonts w:hint="eastAsia" w:ascii="宋体" w:hAnsi="宋体" w:cs="Tahoma"/>
          <w:kern w:val="0"/>
          <w:sz w:val="28"/>
          <w:szCs w:val="28"/>
        </w:rPr>
      </w:pPr>
      <w:r>
        <w:drawing>
          <wp:inline distT="0" distB="0" distL="114300" distR="114300">
            <wp:extent cx="5264150" cy="3216275"/>
            <wp:effectExtent l="9525" t="9525" r="9525" b="1270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a:stretch>
                      <a:fillRect/>
                    </a:stretch>
                  </pic:blipFill>
                  <pic:spPr>
                    <a:xfrm>
                      <a:off x="0" y="0"/>
                      <a:ext cx="5264150" cy="3216275"/>
                    </a:xfrm>
                    <a:prstGeom prst="rect">
                      <a:avLst/>
                    </a:prstGeom>
                    <a:noFill/>
                    <a:ln>
                      <a:solidFill>
                        <a:schemeClr val="tx1"/>
                      </a:solidFill>
                    </a:ln>
                  </pic:spPr>
                </pic:pic>
              </a:graphicData>
            </a:graphic>
          </wp:inline>
        </w:drawing>
      </w:r>
    </w:p>
    <w:p w14:paraId="059BF8F5">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起止时间：学习、工作经历时间要连续，参加工作后的时间节点以社会保险机构开具的养老保险缴费明细为准。</w:t>
      </w:r>
    </w:p>
    <w:p w14:paraId="4BAA81A8">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参加工作时间：以第一次缴纳社会养老保险月份为准，2025年应届毕业生请选择2025年8月。</w:t>
      </w:r>
    </w:p>
    <w:p w14:paraId="673CDBC7">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毕业学校：请填写毕业院校的准确名称，以毕业证书上的公章为准。</w:t>
      </w:r>
    </w:p>
    <w:p w14:paraId="24C841A7">
      <w:pPr>
        <w:keepNext w:val="0"/>
        <w:keepLines w:val="0"/>
        <w:pageBreakBefore w:val="0"/>
        <w:widowControl w:val="0"/>
        <w:kinsoku/>
        <w:wordWrap/>
        <w:overflowPunct/>
        <w:topLinePunct w:val="0"/>
        <w:autoSpaceDE/>
        <w:autoSpaceDN/>
        <w:bidi w:val="0"/>
        <w:snapToGrid w:val="0"/>
        <w:spacing w:line="620" w:lineRule="atLeast"/>
        <w:ind w:firstLine="560" w:firstLineChars="200"/>
        <w:jc w:val="left"/>
        <w:textAlignment w:val="auto"/>
        <w:rPr>
          <w:rFonts w:hint="eastAsia" w:ascii="宋体" w:hAnsi="宋体" w:cs="Tahoma"/>
          <w:kern w:val="0"/>
          <w:sz w:val="28"/>
          <w:szCs w:val="28"/>
        </w:rPr>
      </w:pPr>
      <w:r>
        <w:rPr>
          <w:rFonts w:hint="eastAsia" w:ascii="宋体" w:hAnsi="宋体" w:cs="Tahoma"/>
          <w:kern w:val="0"/>
          <w:sz w:val="28"/>
          <w:szCs w:val="28"/>
        </w:rPr>
        <w:t>学习层次：包括中专、大专、本科学士、本科学历、学士学位、硕士研究生、研究生学历、硕士学位、博士研究生、博士学位。</w:t>
      </w:r>
      <w:r>
        <w:rPr>
          <w:rFonts w:hint="eastAsia" w:ascii="宋体" w:hAnsi="宋体" w:cs="Tahoma"/>
          <w:color w:val="0070C0"/>
          <w:kern w:val="0"/>
          <w:sz w:val="28"/>
          <w:szCs w:val="28"/>
        </w:rPr>
        <w:t>如本科、硕士、博士阶段均取得毕业证书和学位证书，请对应选择本科学士、硕士研究生或博士研究生</w:t>
      </w:r>
      <w:r>
        <w:rPr>
          <w:rFonts w:hint="eastAsia" w:ascii="宋体" w:hAnsi="宋体" w:cs="Tahoma"/>
          <w:kern w:val="0"/>
          <w:sz w:val="28"/>
          <w:szCs w:val="28"/>
        </w:rPr>
        <w:t>；如本科、硕士、博士阶段仅取得毕业证书，请对应选择本科学历或研究生学历；如本科、硕士、博士阶段仅取得学位证书，请对应选择学士学位、硕士学位或博士学位。本硕连读、硕博连读、本硕博连读学生取得连读阶段中最高层次毕业证书和学位证书，视为同时取得连读阶段中较低层次的毕业证书和学位证书。</w:t>
      </w:r>
    </w:p>
    <w:p w14:paraId="318B6DC6">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所学专业：（</w:t>
      </w:r>
      <w:r>
        <w:rPr>
          <w:rFonts w:ascii="宋体" w:hAnsi="宋体" w:cs="Tahoma"/>
          <w:kern w:val="0"/>
          <w:sz w:val="28"/>
          <w:szCs w:val="28"/>
        </w:rPr>
        <w:t>1</w:t>
      </w:r>
      <w:r>
        <w:rPr>
          <w:rFonts w:hint="eastAsia" w:ascii="宋体" w:hAnsi="宋体" w:cs="Tahoma"/>
          <w:kern w:val="0"/>
          <w:sz w:val="28"/>
          <w:szCs w:val="28"/>
        </w:rPr>
        <w:t>）所学专业与毕业证书所载明的专业一致，且与岗位要求的专业及方向一致的考生，请填写毕业证书上的专业名称，资格审查时无需开具专业证明；（</w:t>
      </w:r>
      <w:r>
        <w:rPr>
          <w:rFonts w:ascii="宋体" w:hAnsi="宋体" w:cs="Tahoma"/>
          <w:kern w:val="0"/>
          <w:sz w:val="28"/>
          <w:szCs w:val="28"/>
        </w:rPr>
        <w:t>2</w:t>
      </w:r>
      <w:r>
        <w:rPr>
          <w:rFonts w:hint="eastAsia" w:ascii="宋体" w:hAnsi="宋体" w:cs="Tahoma"/>
          <w:kern w:val="0"/>
          <w:sz w:val="28"/>
          <w:szCs w:val="28"/>
        </w:rPr>
        <w:t>）部分七年制或者带有专业研究方向的学生，如本人所学专业与岗位要求的专业及方向不一致，请按照实际所学专业及研究方向填写。专业及研究方向应与导师和本人毕业论文研究方向相同，并以学习院校开具的证明为准。</w:t>
      </w:r>
    </w:p>
    <w:p w14:paraId="4CFF110E">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研究方向：岗位要求专业研究方向的，请务必填写。</w:t>
      </w:r>
    </w:p>
    <w:p w14:paraId="703E34E7">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ascii="宋体" w:cs="Tahoma"/>
          <w:kern w:val="0"/>
          <w:sz w:val="20"/>
          <w:szCs w:val="20"/>
        </w:rPr>
      </w:pPr>
      <w:r>
        <w:rPr>
          <w:rFonts w:hint="eastAsia" w:ascii="宋体" w:hAnsi="宋体" w:cs="Tahoma"/>
          <w:kern w:val="0"/>
          <w:sz w:val="28"/>
          <w:szCs w:val="28"/>
        </w:rPr>
        <w:t>工作单位：请填写工作单位的准确名称；工作岗位：请填写所在部门名称和工作内容，例如，内分泌科临床医疗。</w:t>
      </w:r>
    </w:p>
    <w:p w14:paraId="1D807490">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ascii="宋体" w:cs="Tahoma"/>
          <w:kern w:val="0"/>
          <w:sz w:val="20"/>
          <w:szCs w:val="20"/>
        </w:rPr>
      </w:pPr>
      <w:r>
        <w:rPr>
          <w:rFonts w:hint="eastAsia" w:ascii="宋体" w:hAnsi="宋体" w:cs="Tahoma"/>
          <w:kern w:val="0"/>
          <w:sz w:val="28"/>
          <w:szCs w:val="28"/>
        </w:rPr>
        <w:t>专业技术资格：请填写取得的人力资源和社会保障部门授予的专业技术资格名称。</w:t>
      </w:r>
    </w:p>
    <w:p w14:paraId="6404687D">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执业资格证书：请填写取得的岗位上岗证书，例如：执业医师资格证、护士执业证等。</w:t>
      </w:r>
    </w:p>
    <w:p w14:paraId="18297BBF">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color w:val="548DD4"/>
          <w:kern w:val="0"/>
          <w:sz w:val="28"/>
          <w:szCs w:val="28"/>
        </w:rPr>
      </w:pPr>
      <w:r>
        <w:rPr>
          <w:rFonts w:hint="eastAsia" w:ascii="宋体" w:hAnsi="宋体" w:cs="Tahoma"/>
          <w:kern w:val="0"/>
          <w:sz w:val="28"/>
          <w:szCs w:val="28"/>
        </w:rPr>
        <w:t>联系地址：</w:t>
      </w:r>
      <w:r>
        <w:rPr>
          <w:rFonts w:hint="eastAsia" w:ascii="宋体" w:hAnsi="宋体" w:cs="Tahoma"/>
          <w:color w:val="548DD4"/>
          <w:kern w:val="0"/>
          <w:sz w:val="28"/>
          <w:szCs w:val="28"/>
        </w:rPr>
        <w:t>请填写自报名之日起本人所在地详细地址。</w:t>
      </w:r>
    </w:p>
    <w:p w14:paraId="0A7D1D4A">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color w:val="548DD4"/>
          <w:kern w:val="0"/>
          <w:sz w:val="28"/>
          <w:szCs w:val="28"/>
        </w:rPr>
      </w:pPr>
      <w:r>
        <w:rPr>
          <w:rFonts w:hint="eastAsia" w:ascii="宋体" w:hAnsi="宋体" w:cs="Tahoma"/>
          <w:color w:val="548DD4"/>
          <w:kern w:val="0"/>
          <w:sz w:val="28"/>
          <w:szCs w:val="28"/>
        </w:rPr>
        <w:t>例如，辽宁省沈阳市皇姑区**街**路**小区。</w:t>
      </w:r>
    </w:p>
    <w:p w14:paraId="7CD95D9F">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color w:val="0070C0"/>
          <w:kern w:val="0"/>
          <w:sz w:val="28"/>
          <w:szCs w:val="28"/>
        </w:rPr>
      </w:pPr>
      <w:r>
        <w:rPr>
          <w:rFonts w:hint="eastAsia" w:ascii="宋体" w:hAnsi="宋体" w:cs="Tahoma"/>
          <w:kern w:val="0"/>
          <w:sz w:val="28"/>
          <w:szCs w:val="28"/>
        </w:rPr>
        <w:t>④上传本人照片（不上传照片者，无法提交报名资料）</w:t>
      </w:r>
    </w:p>
    <w:p w14:paraId="39E99060">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⑤提交报名资料（提交后报名资料将不可更改！）</w:t>
      </w:r>
    </w:p>
    <w:p w14:paraId="50549734">
      <w:pPr>
        <w:keepNext w:val="0"/>
        <w:keepLines w:val="0"/>
        <w:pageBreakBefore w:val="0"/>
        <w:widowControl w:val="0"/>
        <w:kinsoku/>
        <w:wordWrap/>
        <w:overflowPunct/>
        <w:topLinePunct w:val="0"/>
        <w:autoSpaceDE/>
        <w:autoSpaceDN/>
        <w:bidi w:val="0"/>
        <w:snapToGrid w:val="0"/>
        <w:spacing w:line="620" w:lineRule="atLeast"/>
        <w:ind w:left="0" w:leftChars="0" w:firstLine="560" w:firstLineChars="200"/>
        <w:textAlignment w:val="auto"/>
        <w:rPr>
          <w:rFonts w:hint="eastAsia" w:ascii="宋体" w:hAnsi="宋体" w:cs="Tahoma"/>
          <w:b/>
          <w:bCs/>
          <w:kern w:val="0"/>
          <w:sz w:val="28"/>
          <w:szCs w:val="28"/>
        </w:rPr>
      </w:pPr>
      <w:r>
        <w:rPr>
          <w:rFonts w:hint="eastAsia" w:ascii="宋体" w:hAnsi="宋体" w:cs="Tahoma"/>
          <w:kern w:val="0"/>
          <w:sz w:val="28"/>
          <w:szCs w:val="28"/>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132715</wp:posOffset>
            </wp:positionV>
            <wp:extent cx="5273675" cy="2693035"/>
            <wp:effectExtent l="9525" t="9525" r="12700" b="15240"/>
            <wp:wrapTopAndBottom/>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5273675" cy="2693035"/>
                    </a:xfrm>
                    <a:prstGeom prst="rect">
                      <a:avLst/>
                    </a:prstGeom>
                    <a:noFill/>
                    <a:ln>
                      <a:solidFill>
                        <a:schemeClr val="tx1"/>
                      </a:solidFill>
                    </a:ln>
                  </pic:spPr>
                </pic:pic>
              </a:graphicData>
            </a:graphic>
          </wp:anchor>
        </w:drawing>
      </w:r>
      <w:r>
        <w:rPr>
          <w:rFonts w:hint="eastAsia" w:ascii="宋体" w:hAnsi="宋体" w:cs="Tahoma"/>
          <w:kern w:val="0"/>
          <w:sz w:val="28"/>
          <w:szCs w:val="28"/>
        </w:rPr>
        <w:t>如点击“保存”，可保存当前所填信息，应聘前可修改信息；如点击“确认”按钮应聘后，将不能更改报名信息。点击“确认”后将进入“已应聘职位”页面，可查询个人报名进程。提交报名后，工作人员将在一个工作日内完成报名审核。资格审查复审、面试、体检、考察等环节请关注人事处网站通知。</w:t>
      </w:r>
    </w:p>
    <w:p w14:paraId="5253CF90">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jc w:val="left"/>
        <w:textAlignment w:val="auto"/>
        <w:rPr>
          <w:rFonts w:hint="eastAsia" w:ascii="黑体" w:hAnsi="黑体" w:eastAsia="黑体" w:cs="黑体"/>
          <w:b w:val="0"/>
          <w:bCs w:val="0"/>
          <w:kern w:val="0"/>
          <w:sz w:val="28"/>
          <w:szCs w:val="28"/>
        </w:rPr>
      </w:pPr>
      <w:r>
        <w:rPr>
          <w:rFonts w:hint="eastAsia" w:ascii="黑体" w:hAnsi="黑体" w:eastAsia="黑体" w:cs="黑体"/>
          <w:b w:val="0"/>
          <w:bCs w:val="0"/>
          <w:kern w:val="0"/>
          <w:sz w:val="28"/>
          <w:szCs w:val="28"/>
        </w:rPr>
        <w:t>四、笔试面试</w:t>
      </w:r>
    </w:p>
    <w:p w14:paraId="69ACF4A2">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1</w:t>
      </w:r>
      <w:r>
        <w:rPr>
          <w:rFonts w:ascii="宋体" w:hAnsi="宋体" w:cs="Tahoma"/>
          <w:kern w:val="0"/>
          <w:sz w:val="28"/>
          <w:szCs w:val="28"/>
        </w:rPr>
        <w:t>.</w:t>
      </w:r>
      <w:r>
        <w:rPr>
          <w:rFonts w:hint="eastAsia" w:ascii="宋体" w:hAnsi="宋体" w:cs="Tahoma"/>
          <w:kern w:val="0"/>
          <w:sz w:val="28"/>
          <w:szCs w:val="28"/>
        </w:rPr>
        <w:t>在个人中心页面点击“已应聘岗位”右下角蓝色字体“缴费”，进行笔试缴费操作，可使用微信扫码支付。</w:t>
      </w:r>
    </w:p>
    <w:p w14:paraId="0DEB2B25">
      <w:pPr>
        <w:keepNext w:val="0"/>
        <w:keepLines w:val="0"/>
        <w:pageBreakBefore w:val="0"/>
        <w:widowControl w:val="0"/>
        <w:kinsoku/>
        <w:wordWrap/>
        <w:overflowPunct/>
        <w:topLinePunct w:val="0"/>
        <w:autoSpaceDE/>
        <w:autoSpaceDN/>
        <w:bidi w:val="0"/>
        <w:snapToGrid w:val="0"/>
        <w:spacing w:line="620" w:lineRule="atLeast"/>
        <w:ind w:firstLine="420" w:firstLineChars="200"/>
        <w:textAlignment w:val="auto"/>
        <w:rPr>
          <w:rFonts w:hint="eastAsia" w:ascii="宋体" w:hAnsi="宋体" w:cs="Tahoma"/>
          <w:kern w:val="0"/>
          <w:sz w:val="28"/>
          <w:szCs w:val="28"/>
        </w:rPr>
      </w:pPr>
      <w:r>
        <w:drawing>
          <wp:anchor distT="0" distB="0" distL="114300" distR="114300" simplePos="0" relativeHeight="251660288" behindDoc="0" locked="0" layoutInCell="1" allowOverlap="1">
            <wp:simplePos x="0" y="0"/>
            <wp:positionH relativeFrom="column">
              <wp:posOffset>169545</wp:posOffset>
            </wp:positionH>
            <wp:positionV relativeFrom="paragraph">
              <wp:posOffset>184150</wp:posOffset>
            </wp:positionV>
            <wp:extent cx="5241925" cy="2705735"/>
            <wp:effectExtent l="9525" t="9525" r="19050" b="15240"/>
            <wp:wrapTopAndBottom/>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3"/>
                    <a:stretch>
                      <a:fillRect/>
                    </a:stretch>
                  </pic:blipFill>
                  <pic:spPr>
                    <a:xfrm>
                      <a:off x="0" y="0"/>
                      <a:ext cx="5241925" cy="2705735"/>
                    </a:xfrm>
                    <a:prstGeom prst="rect">
                      <a:avLst/>
                    </a:prstGeom>
                    <a:noFill/>
                    <a:ln>
                      <a:solidFill>
                        <a:schemeClr val="tx1"/>
                      </a:solidFill>
                    </a:ln>
                  </pic:spPr>
                </pic:pic>
              </a:graphicData>
            </a:graphic>
          </wp:anchor>
        </w:drawing>
      </w:r>
      <w:r>
        <w:rPr>
          <w:rFonts w:hint="eastAsia" w:ascii="宋体" w:hAnsi="宋体" w:cs="Tahoma"/>
          <w:kern w:val="0"/>
          <w:sz w:val="28"/>
          <w:szCs w:val="28"/>
        </w:rPr>
        <w:t>2</w:t>
      </w:r>
      <w:r>
        <w:rPr>
          <w:rFonts w:ascii="宋体" w:hAnsi="宋体" w:cs="Tahoma"/>
          <w:kern w:val="0"/>
          <w:sz w:val="28"/>
          <w:szCs w:val="28"/>
        </w:rPr>
        <w:t>.</w:t>
      </w:r>
      <w:r>
        <w:rPr>
          <w:rFonts w:hint="eastAsia" w:ascii="宋体" w:hAnsi="宋体" w:cs="Tahoma"/>
          <w:kern w:val="0"/>
          <w:sz w:val="28"/>
          <w:szCs w:val="28"/>
        </w:rPr>
        <w:t>在个人中心页面点击左下方“打印准考证”，核对准考证信息无误后，点击准考证上方“下载”按钮进行准考证下载。</w:t>
      </w:r>
    </w:p>
    <w:p w14:paraId="11E2E4BD">
      <w:pPr>
        <w:keepNext w:val="0"/>
        <w:keepLines w:val="0"/>
        <w:pageBreakBefore w:val="0"/>
        <w:widowControl w:val="0"/>
        <w:kinsoku/>
        <w:wordWrap/>
        <w:overflowPunct/>
        <w:topLinePunct w:val="0"/>
        <w:autoSpaceDE/>
        <w:autoSpaceDN/>
        <w:bidi w:val="0"/>
        <w:snapToGrid w:val="0"/>
        <w:spacing w:line="620" w:lineRule="atLeast"/>
        <w:ind w:firstLine="420" w:firstLineChars="200"/>
        <w:textAlignment w:val="auto"/>
        <w:rPr>
          <w:rFonts w:hint="eastAsia" w:ascii="宋体" w:hAnsi="宋体" w:cs="Tahoma"/>
          <w:b/>
          <w:bCs/>
          <w:kern w:val="0"/>
          <w:sz w:val="28"/>
          <w:szCs w:val="28"/>
        </w:rPr>
      </w:pPr>
      <w:r>
        <w:drawing>
          <wp:anchor distT="0" distB="0" distL="114300" distR="114300" simplePos="0" relativeHeight="251662336" behindDoc="0" locked="0" layoutInCell="1" allowOverlap="1">
            <wp:simplePos x="0" y="0"/>
            <wp:positionH relativeFrom="column">
              <wp:posOffset>40005</wp:posOffset>
            </wp:positionH>
            <wp:positionV relativeFrom="paragraph">
              <wp:posOffset>163830</wp:posOffset>
            </wp:positionV>
            <wp:extent cx="5205730" cy="2518410"/>
            <wp:effectExtent l="9525" t="9525" r="17145" b="12065"/>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4"/>
                    <a:stretch>
                      <a:fillRect/>
                    </a:stretch>
                  </pic:blipFill>
                  <pic:spPr>
                    <a:xfrm>
                      <a:off x="0" y="0"/>
                      <a:ext cx="5205730" cy="2518410"/>
                    </a:xfrm>
                    <a:prstGeom prst="rect">
                      <a:avLst/>
                    </a:prstGeom>
                    <a:noFill/>
                    <a:ln>
                      <a:solidFill>
                        <a:schemeClr val="tx1"/>
                      </a:solidFill>
                    </a:ln>
                  </pic:spPr>
                </pic:pic>
              </a:graphicData>
            </a:graphic>
          </wp:anchor>
        </w:drawing>
      </w:r>
    </w:p>
    <w:p w14:paraId="486DE646">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b/>
          <w:bCs/>
          <w:kern w:val="0"/>
          <w:sz w:val="28"/>
          <w:szCs w:val="28"/>
        </w:rPr>
      </w:pPr>
      <w:r>
        <w:rPr>
          <w:rFonts w:hint="eastAsia" w:ascii="宋体" w:hAnsi="宋体" w:cs="Tahoma"/>
          <w:kern w:val="0"/>
          <w:sz w:val="28"/>
          <w:szCs w:val="28"/>
        </w:rPr>
        <w:t>3.成绩查询：点击个人中心下“查看成绩”。</w:t>
      </w:r>
    </w:p>
    <w:p w14:paraId="0EC0F241">
      <w:pPr>
        <w:keepNext w:val="0"/>
        <w:keepLines w:val="0"/>
        <w:pageBreakBefore w:val="0"/>
        <w:widowControl w:val="0"/>
        <w:kinsoku/>
        <w:wordWrap/>
        <w:overflowPunct/>
        <w:topLinePunct w:val="0"/>
        <w:autoSpaceDE/>
        <w:autoSpaceDN/>
        <w:bidi w:val="0"/>
        <w:snapToGrid w:val="0"/>
        <w:spacing w:line="620" w:lineRule="atLeast"/>
        <w:ind w:firstLine="420" w:firstLineChars="200"/>
        <w:textAlignment w:val="auto"/>
        <w:rPr>
          <w:rFonts w:hint="eastAsia" w:ascii="宋体" w:hAnsi="宋体" w:cs="Tahoma"/>
          <w:b/>
          <w:bCs/>
          <w:kern w:val="0"/>
          <w:sz w:val="28"/>
          <w:szCs w:val="28"/>
        </w:rPr>
      </w:pPr>
      <w:r>
        <w:drawing>
          <wp:anchor distT="0" distB="0" distL="114300" distR="114300" simplePos="0" relativeHeight="251663360" behindDoc="0" locked="0" layoutInCell="1" allowOverlap="1">
            <wp:simplePos x="0" y="0"/>
            <wp:positionH relativeFrom="column">
              <wp:posOffset>100330</wp:posOffset>
            </wp:positionH>
            <wp:positionV relativeFrom="paragraph">
              <wp:posOffset>151130</wp:posOffset>
            </wp:positionV>
            <wp:extent cx="5158105" cy="2508250"/>
            <wp:effectExtent l="9525" t="9525" r="13970" b="9525"/>
            <wp:wrapTopAndBottom/>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5"/>
                    <a:stretch>
                      <a:fillRect/>
                    </a:stretch>
                  </pic:blipFill>
                  <pic:spPr>
                    <a:xfrm>
                      <a:off x="0" y="0"/>
                      <a:ext cx="5158105" cy="2508250"/>
                    </a:xfrm>
                    <a:prstGeom prst="rect">
                      <a:avLst/>
                    </a:prstGeom>
                    <a:noFill/>
                    <a:ln>
                      <a:solidFill>
                        <a:schemeClr val="tx1"/>
                      </a:solidFill>
                    </a:ln>
                  </pic:spPr>
                </pic:pic>
              </a:graphicData>
            </a:graphic>
          </wp:anchor>
        </w:drawing>
      </w:r>
    </w:p>
    <w:p w14:paraId="1B1A5EB0">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jc w:val="left"/>
        <w:textAlignment w:val="auto"/>
        <w:rPr>
          <w:rFonts w:hint="eastAsia" w:ascii="黑体" w:hAnsi="黑体" w:eastAsia="黑体" w:cs="黑体"/>
          <w:b w:val="0"/>
          <w:bCs w:val="0"/>
          <w:kern w:val="0"/>
          <w:sz w:val="28"/>
          <w:szCs w:val="28"/>
        </w:rPr>
      </w:pPr>
      <w:r>
        <w:rPr>
          <w:rFonts w:hint="eastAsia" w:ascii="黑体" w:hAnsi="黑体" w:eastAsia="黑体" w:cs="黑体"/>
          <w:b w:val="0"/>
          <w:bCs w:val="0"/>
          <w:kern w:val="0"/>
          <w:sz w:val="28"/>
          <w:szCs w:val="28"/>
        </w:rPr>
        <w:t>五、资格审查复审需提交的材料</w:t>
      </w:r>
    </w:p>
    <w:p w14:paraId="5DAF4CD1">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笔试成绩公布后，将很快对进入资格审查环节的考生进行资格复审，请考生对照招聘公告和计划信息表中的要求提前准备好相关材料。参加资格审查需提供如下材料：</w:t>
      </w:r>
    </w:p>
    <w:p w14:paraId="2922E7B0">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1.身份证原件及复印件一份（第二代身份证正反面复印在一张A4纸上）。</w:t>
      </w:r>
    </w:p>
    <w:p w14:paraId="3B1F04C8">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2.已获得的各学历层次的学历、学位证书（比如：岗位要求是硕士研究生，则大（中）专及本科的学历、学位证书原件也需提供）。如为2025年应届毕业生，资格审查时暂未领到毕业证书和学位证书的，需提交就读院校开具的学历学位证明（包括修业时间、专业名称、拟授予学位类别、成绩是否合格、拟毕业时间等内容）。</w:t>
      </w:r>
    </w:p>
    <w:p w14:paraId="30074F30">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3.海外归国人员需提交教育部认证的学历学位认证书。</w:t>
      </w:r>
    </w:p>
    <w:p w14:paraId="2375B8CF">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4.所应聘岗位要求外语等级证书的，需提交相应语言证书。所应聘岗位要求外语语种的，需提交相应语言证书或成绩单。</w:t>
      </w:r>
    </w:p>
    <w:p w14:paraId="763FA4E7">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5.如为2025年应届毕业生，需提交学校推荐意见书原件（通常称为毕业生推荐表，推荐表里的内容需填写完整，需要盖章的地方务必加盖相关部门公章）。</w:t>
      </w:r>
    </w:p>
    <w:p w14:paraId="02A62B9B">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6.如所学专业与岗位要求专业不完全一致、需另行说明的，需提交所学专业的专业证明。要求：证明所学专业与《招聘计划信息表》中岗位要求的专业及方向是否一致、研究生导师的研究方向和毕业论文的缩减版。</w:t>
      </w:r>
    </w:p>
    <w:p w14:paraId="3BE38C2F">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7.所应聘岗位要求专业研究方向的，需提交就读院校开具的专业方向证明及成绩单。</w:t>
      </w:r>
    </w:p>
    <w:p w14:paraId="2385CDBB">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8.所应聘岗位要求工作经历的，需提交养老保险缴费明细并加盖社会保险机构公章及从事工作年限和具体工作种类的工作证明。工作证明由应聘者现（原）签订劳动合同单位（或工作单位）开具，并加盖单位公章或人事部门公章。工作证明模板请到学校人事处网站“下载专区”中“人事科”专栏下载，并按照填写说明进行填写。有工作单位的，需同时提交单位同意应聘的证明。</w:t>
      </w:r>
    </w:p>
    <w:p w14:paraId="5F324391">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9.所应聘岗位要求中共党员（预备）的，请到现</w:t>
      </w:r>
      <w:r>
        <w:rPr>
          <w:rFonts w:ascii="宋体" w:hAnsi="宋体" w:cs="Tahoma"/>
          <w:kern w:val="0"/>
          <w:sz w:val="28"/>
          <w:szCs w:val="28"/>
        </w:rPr>
        <w:t>党组织关系所在</w:t>
      </w:r>
      <w:r>
        <w:rPr>
          <w:rFonts w:hint="eastAsia" w:ascii="宋体" w:hAnsi="宋体" w:cs="Tahoma"/>
          <w:kern w:val="0"/>
          <w:sz w:val="28"/>
          <w:szCs w:val="28"/>
        </w:rPr>
        <w:t>组织开具党员证明并加盖党组织部门公章，证明中需注明入党时间。</w:t>
      </w:r>
    </w:p>
    <w:p w14:paraId="2656FA34">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10.所应聘岗位要求从业资格证书、等级证书的，请提交从业资格证书、等级证书原件及复印件一份。</w:t>
      </w:r>
    </w:p>
    <w:p w14:paraId="71C95F46">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11.岗位所需要的其他材料及能证明个人能力、资历的有关材料和主要工作业绩证明材料。已参加工作并具有职称（专业技术资格）的需提交职称（专业技术资格）证书原件及复印件一份。</w:t>
      </w:r>
    </w:p>
    <w:p w14:paraId="5558FE15">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12.请各位考生在中国高等教育学生信息网（学信网网址：http://www.chsi.com.cn/）注册个人信息，牢记用户名及密码，并提交学信网上查询到的各层次《教育部学历证书电子注册备案表》、《教育部学位与研究生教育发展中心认证报告》。如为2025年应届毕业生，学历学位信息暂查询不到的，可提交查询到的学籍信息截图。拟录用前，需到人事处进行各层次学历、学位信息现场网上核实。</w:t>
      </w:r>
    </w:p>
    <w:p w14:paraId="52185CFF">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jc w:val="left"/>
        <w:textAlignment w:val="auto"/>
        <w:rPr>
          <w:rFonts w:hint="eastAsia" w:ascii="黑体" w:hAnsi="黑体" w:eastAsia="黑体" w:cs="黑体"/>
          <w:b w:val="0"/>
          <w:bCs w:val="0"/>
          <w:kern w:val="0"/>
          <w:sz w:val="28"/>
          <w:szCs w:val="28"/>
        </w:rPr>
      </w:pPr>
      <w:r>
        <w:rPr>
          <w:rFonts w:hint="eastAsia" w:ascii="黑体" w:hAnsi="黑体" w:eastAsia="黑体" w:cs="黑体"/>
          <w:b w:val="0"/>
          <w:bCs w:val="0"/>
          <w:kern w:val="0"/>
          <w:sz w:val="28"/>
          <w:szCs w:val="28"/>
        </w:rPr>
        <w:t>六、其他</w:t>
      </w:r>
    </w:p>
    <w:p w14:paraId="0BB475A9">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ascii="宋体" w:hAnsi="宋体" w:cs="Tahoma"/>
          <w:kern w:val="0"/>
          <w:sz w:val="28"/>
          <w:szCs w:val="28"/>
        </w:rPr>
        <w:t>1.</w:t>
      </w:r>
      <w:r>
        <w:rPr>
          <w:rFonts w:hint="eastAsia" w:ascii="宋体" w:hAnsi="宋体" w:cs="Tahoma"/>
          <w:kern w:val="0"/>
          <w:sz w:val="28"/>
          <w:szCs w:val="28"/>
        </w:rPr>
        <w:t>辽宁中医药大学此次自主招聘录用的人员不纳入辽宁省事业单位编制，按照劳务派遣形式管理。</w:t>
      </w:r>
    </w:p>
    <w:p w14:paraId="251291C3">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2.报名系统“自主招聘”模块中显示的各岗位报名人数为有效报名人数，即通过报名审核并成功缴纳笔试考务费的人数。</w:t>
      </w:r>
    </w:p>
    <w:p w14:paraId="546EB69D">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ascii="宋体" w:cs="Tahoma"/>
          <w:kern w:val="0"/>
          <w:sz w:val="28"/>
          <w:szCs w:val="28"/>
        </w:rPr>
      </w:pPr>
      <w:r>
        <w:rPr>
          <w:rFonts w:hint="eastAsia" w:ascii="宋体" w:hAnsi="宋体" w:cs="Tahoma"/>
          <w:kern w:val="0"/>
          <w:sz w:val="28"/>
          <w:szCs w:val="28"/>
        </w:rPr>
        <w:t>3</w:t>
      </w:r>
      <w:r>
        <w:rPr>
          <w:rFonts w:ascii="宋体" w:cs="Tahoma"/>
          <w:kern w:val="0"/>
          <w:sz w:val="28"/>
          <w:szCs w:val="28"/>
        </w:rPr>
        <w:t>.</w:t>
      </w:r>
      <w:r>
        <w:rPr>
          <w:rFonts w:hint="eastAsia" w:ascii="宋体" w:cs="Tahoma"/>
          <w:kern w:val="0"/>
          <w:sz w:val="28"/>
          <w:szCs w:val="28"/>
        </w:rPr>
        <w:t>考试考核类</w:t>
      </w:r>
      <w:r>
        <w:rPr>
          <w:rFonts w:hint="eastAsia" w:ascii="宋体" w:hAnsi="宋体" w:cs="Tahoma"/>
          <w:kern w:val="0"/>
          <w:sz w:val="28"/>
          <w:szCs w:val="28"/>
        </w:rPr>
        <w:t>岗位有效报名人数与招聘人数达不到</w:t>
      </w:r>
      <w:r>
        <w:rPr>
          <w:rFonts w:ascii="宋体" w:hAnsi="宋体" w:cs="Tahoma"/>
          <w:kern w:val="0"/>
          <w:sz w:val="28"/>
          <w:szCs w:val="28"/>
        </w:rPr>
        <w:t>2:1</w:t>
      </w:r>
      <w:r>
        <w:rPr>
          <w:rFonts w:hint="eastAsia" w:ascii="宋体" w:hAnsi="宋体" w:cs="Tahoma"/>
          <w:kern w:val="0"/>
          <w:sz w:val="28"/>
          <w:szCs w:val="28"/>
        </w:rPr>
        <w:t>时，将取消或削减该岗位招聘计划。报考已取消岗位的考生，可以在规定时间内报考其他符合招聘条件未被取消的岗位。未按规定时间改报的，视为放弃报考。</w:t>
      </w:r>
    </w:p>
    <w:p w14:paraId="36607788">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4</w:t>
      </w:r>
      <w:r>
        <w:rPr>
          <w:rFonts w:ascii="宋体" w:hAnsi="宋体" w:cs="Tahoma"/>
          <w:kern w:val="0"/>
          <w:sz w:val="28"/>
          <w:szCs w:val="28"/>
        </w:rPr>
        <w:t>.</w:t>
      </w:r>
      <w:r>
        <w:rPr>
          <w:rFonts w:hint="eastAsia" w:ascii="宋体" w:hAnsi="宋体" w:cs="Tahoma"/>
          <w:kern w:val="0"/>
          <w:sz w:val="28"/>
          <w:szCs w:val="28"/>
        </w:rPr>
        <w:t>岗位要求所学专业均指毕业证书所载明的专业。岗位要求中共党员的，包含中共预备党员。</w:t>
      </w:r>
    </w:p>
    <w:p w14:paraId="2DD675B9">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5.2025年毕业的定向生、委培生是否可以应聘？</w:t>
      </w:r>
    </w:p>
    <w:p w14:paraId="176F0177">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2025年毕业的定向生、委培生原则上不得应聘。如委培或定向单位同意其应聘，应当由委培或定向单位出具同意应聘证明，并经所在院校同意后方可应聘。</w:t>
      </w:r>
    </w:p>
    <w:p w14:paraId="1898021B">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color w:val="000000" w:themeColor="text1"/>
          <w:kern w:val="0"/>
          <w:sz w:val="28"/>
          <w:szCs w:val="28"/>
          <w14:textFill>
            <w14:solidFill>
              <w14:schemeClr w14:val="tx1"/>
            </w14:solidFill>
          </w14:textFill>
        </w:rPr>
      </w:pPr>
      <w:r>
        <w:rPr>
          <w:rFonts w:hint="eastAsia" w:ascii="宋体" w:hAnsi="宋体" w:cs="Tahoma"/>
          <w:color w:val="000000" w:themeColor="text1"/>
          <w:kern w:val="0"/>
          <w:sz w:val="28"/>
          <w:szCs w:val="28"/>
          <w14:textFill>
            <w14:solidFill>
              <w14:schemeClr w14:val="tx1"/>
            </w14:solidFill>
          </w14:textFill>
        </w:rPr>
        <w:t>6.应届毕业生如何界定？</w:t>
      </w:r>
    </w:p>
    <w:p w14:paraId="1A95916A">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color w:val="000000" w:themeColor="text1"/>
          <w:kern w:val="0"/>
          <w:sz w:val="28"/>
          <w:szCs w:val="28"/>
          <w14:textFill>
            <w14:solidFill>
              <w14:schemeClr w14:val="tx1"/>
            </w14:solidFill>
          </w14:textFill>
        </w:rPr>
      </w:pPr>
      <w:r>
        <w:rPr>
          <w:rFonts w:hint="eastAsia" w:ascii="宋体" w:hAnsi="宋体" w:cs="Tahoma"/>
          <w:color w:val="000000" w:themeColor="text1"/>
          <w:kern w:val="0"/>
          <w:sz w:val="28"/>
          <w:szCs w:val="28"/>
          <w14:textFill>
            <w14:solidFill>
              <w14:schemeClr w14:val="tx1"/>
            </w14:solidFill>
          </w14:textFill>
        </w:rPr>
        <w:t>2024年8月1日至2025年7月31日期间毕业并取得毕业证（学位证）的普通高校毕业生。</w:t>
      </w:r>
    </w:p>
    <w:p w14:paraId="76F84D8C">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color w:val="000000" w:themeColor="text1"/>
          <w:kern w:val="0"/>
          <w:sz w:val="28"/>
          <w:szCs w:val="28"/>
          <w14:textFill>
            <w14:solidFill>
              <w14:schemeClr w14:val="tx1"/>
            </w14:solidFill>
          </w14:textFill>
        </w:rPr>
      </w:pPr>
      <w:r>
        <w:rPr>
          <w:rFonts w:hint="eastAsia" w:ascii="宋体" w:hAnsi="宋体" w:cs="Tahoma"/>
          <w:color w:val="000000" w:themeColor="text1"/>
          <w:kern w:val="0"/>
          <w:sz w:val="28"/>
          <w:szCs w:val="28"/>
          <w14:textFill>
            <w14:solidFill>
              <w14:schemeClr w14:val="tx1"/>
            </w14:solidFill>
          </w14:textFill>
        </w:rPr>
        <w:t>7</w:t>
      </w:r>
      <w:r>
        <w:rPr>
          <w:rFonts w:ascii="宋体" w:hAnsi="宋体" w:cs="Tahoma"/>
          <w:color w:val="000000" w:themeColor="text1"/>
          <w:kern w:val="0"/>
          <w:sz w:val="28"/>
          <w:szCs w:val="28"/>
          <w14:textFill>
            <w14:solidFill>
              <w14:schemeClr w14:val="tx1"/>
            </w14:solidFill>
          </w14:textFill>
        </w:rPr>
        <w:t>.2023年、2024年普通高校毕业生是否能以应届毕业生身份应聘？</w:t>
      </w:r>
    </w:p>
    <w:p w14:paraId="2EC3DCFC">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color w:val="000000" w:themeColor="text1"/>
          <w:kern w:val="0"/>
          <w:sz w:val="28"/>
          <w:szCs w:val="28"/>
          <w14:textFill>
            <w14:solidFill>
              <w14:schemeClr w14:val="tx1"/>
            </w14:solidFill>
          </w14:textFill>
        </w:rPr>
      </w:pPr>
      <w:r>
        <w:rPr>
          <w:rFonts w:ascii="宋体" w:hAnsi="宋体" w:cs="Tahoma"/>
          <w:color w:val="000000" w:themeColor="text1"/>
          <w:kern w:val="0"/>
          <w:sz w:val="28"/>
          <w:szCs w:val="28"/>
          <w14:textFill>
            <w14:solidFill>
              <w14:schemeClr w14:val="tx1"/>
            </w14:solidFill>
          </w14:textFill>
        </w:rPr>
        <w:t>国家统一招生的普通高校毕业生离校时和在择业期内（国家规定择业期为二年）未落实工作单位，其户口、档案、组织关系仍保留在原毕业学校，或者保留在各级毕业生就业主管部门（毕业生就业指导服务中心）、各级人才交流服务机构和各级公共就业服务机构的毕业生，可按应届毕业生对待。</w:t>
      </w:r>
    </w:p>
    <w:p w14:paraId="36536B5A">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color w:val="000000" w:themeColor="text1"/>
          <w:kern w:val="0"/>
          <w:sz w:val="28"/>
          <w:szCs w:val="28"/>
          <w14:textFill>
            <w14:solidFill>
              <w14:schemeClr w14:val="tx1"/>
            </w14:solidFill>
          </w14:textFill>
        </w:rPr>
      </w:pPr>
      <w:r>
        <w:rPr>
          <w:rFonts w:hint="eastAsia" w:ascii="宋体" w:hAnsi="宋体" w:cs="Tahoma"/>
          <w:color w:val="000000" w:themeColor="text1"/>
          <w:kern w:val="0"/>
          <w:sz w:val="28"/>
          <w:szCs w:val="28"/>
          <w14:textFill>
            <w14:solidFill>
              <w14:schemeClr w14:val="tx1"/>
            </w14:solidFill>
          </w14:textFill>
        </w:rPr>
        <w:t>8.</w:t>
      </w:r>
      <w:r>
        <w:rPr>
          <w:rFonts w:hint="eastAsia" w:ascii="宋体" w:hAnsi="宋体" w:cs="Tahoma"/>
          <w:kern w:val="0"/>
          <w:sz w:val="28"/>
          <w:szCs w:val="28"/>
        </w:rPr>
        <w:t>能否以辅修第二学位所学的专业应聘？</w:t>
      </w:r>
    </w:p>
    <w:p w14:paraId="394A3263">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ascii="宋体" w:hAnsi="宋体" w:cs="Tahoma"/>
          <w:kern w:val="0"/>
          <w:sz w:val="28"/>
          <w:szCs w:val="28"/>
        </w:rPr>
        <w:t>辅修的第二学位有国家承认的学历、学位证书的，可以应聘。具有国家承认学历及学位的双专业毕业证书、双学位证书的，其中一个专业符合招聘岗位要求的，可以应聘。招聘岗位同时有学历、学位要求的，学历证书与学位证书的专业应相一致，否则不符合招聘条件。</w:t>
      </w:r>
    </w:p>
    <w:p w14:paraId="6E7BDFDF">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9.招聘岗位中要求的学历、学位如何理解？</w:t>
      </w:r>
    </w:p>
    <w:p w14:paraId="21485B09">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ascii="宋体" w:hAnsi="宋体" w:cs="Tahoma"/>
          <w:kern w:val="0"/>
          <w:sz w:val="28"/>
          <w:szCs w:val="28"/>
        </w:rPr>
        <w:t>招聘岗位设定学历为设定为“研究生”的，只招聘研究生学历层次人员。招聘岗位设定学位为“硕士及以上”的，获得硕士学位、博士学位的，都符合学位要求。</w:t>
      </w:r>
    </w:p>
    <w:p w14:paraId="6FD926D5">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ascii="宋体" w:hAnsi="宋体" w:cs="Tahoma"/>
          <w:kern w:val="0"/>
          <w:sz w:val="28"/>
          <w:szCs w:val="28"/>
        </w:rPr>
        <w:t>设定为“硕士及以上”的，获得硕士学位、博士学位的，都符合学位要求。</w:t>
      </w:r>
    </w:p>
    <w:p w14:paraId="78B3ACEA">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color w:val="000000" w:themeColor="text1"/>
          <w:kern w:val="0"/>
          <w:sz w:val="28"/>
          <w:szCs w:val="28"/>
          <w14:textFill>
            <w14:solidFill>
              <w14:schemeClr w14:val="tx1"/>
            </w14:solidFill>
          </w14:textFill>
        </w:rPr>
      </w:pPr>
      <w:r>
        <w:rPr>
          <w:rFonts w:hint="eastAsia" w:ascii="宋体" w:hAnsi="宋体" w:cs="Tahoma"/>
          <w:color w:val="000000" w:themeColor="text1"/>
          <w:kern w:val="0"/>
          <w:sz w:val="28"/>
          <w:szCs w:val="28"/>
          <w14:textFill>
            <w14:solidFill>
              <w14:schemeClr w14:val="tx1"/>
            </w14:solidFill>
          </w14:textFill>
        </w:rPr>
        <w:t>10.能否以辅修第二学位所学的专业应聘？</w:t>
      </w:r>
    </w:p>
    <w:p w14:paraId="1FFD90CF">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color w:val="000000" w:themeColor="text1"/>
          <w:kern w:val="0"/>
          <w:sz w:val="28"/>
          <w:szCs w:val="28"/>
          <w14:textFill>
            <w14:solidFill>
              <w14:schemeClr w14:val="tx1"/>
            </w14:solidFill>
          </w14:textFill>
        </w:rPr>
      </w:pPr>
      <w:r>
        <w:rPr>
          <w:rFonts w:hint="eastAsia" w:ascii="宋体" w:hAnsi="宋体" w:cs="Tahoma"/>
          <w:color w:val="000000" w:themeColor="text1"/>
          <w:kern w:val="0"/>
          <w:sz w:val="28"/>
          <w:szCs w:val="28"/>
          <w14:textFill>
            <w14:solidFill>
              <w14:schemeClr w14:val="tx1"/>
            </w14:solidFill>
          </w14:textFill>
        </w:rPr>
        <w:t>辅修的第二学位有国家承认的学历、学位证书的，可以应聘。具有国家承认学历及学位的双专业毕业证书、双学位证书的，其中一个专业符合招聘岗位要求的，可以应聘。招聘岗位同时有学历、学位要求的，学历证书与学位证书的专业应相一致，否则不符合招聘条件。</w:t>
      </w:r>
    </w:p>
    <w:p w14:paraId="5DA91C28">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11.应聘人员在报名环节有违纪违规行为，将如何处理？</w:t>
      </w:r>
    </w:p>
    <w:p w14:paraId="3BAA04E5">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根据《事业单位公开招聘违纪违规行为处理规定》（人社部令第35号）第五条 应聘人员在报名过程中有下列违纪违规行为之一的，取消其本次应聘资格：</w:t>
      </w:r>
    </w:p>
    <w:p w14:paraId="048AA148">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（一）伪造、涂改证件、证明等报名材料，或者以其他不正当手段获取应聘资格的；</w:t>
      </w:r>
    </w:p>
    <w:p w14:paraId="555A03B3">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（二）提供的涉及报考资格的申请材料或者信息不实，且影响报名审核结果的；</w:t>
      </w:r>
    </w:p>
    <w:p w14:paraId="794CBADF">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（三）其他应当取消其本次应聘资格的违纪违规行为。</w:t>
      </w:r>
    </w:p>
    <w:p w14:paraId="0FA9FCD8">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12.应聘人员在考试过程中有一般违纪违规行为，将如何处理？</w:t>
      </w:r>
    </w:p>
    <w:p w14:paraId="07559974">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根据《事业单位公开招聘违纪违规行为处理规定》（人社部令第35号）第六条 应聘人员在考试过程中有下列违纪违规行为之一的，给予其当次该科目考试成绩无效的处理：</w:t>
      </w:r>
    </w:p>
    <w:p w14:paraId="79ECA658">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（一）携带规定以外的物品进入考场且未按要求放在指定位置，经提醒仍不改正的；</w:t>
      </w:r>
    </w:p>
    <w:p w14:paraId="06B66872">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（二）未在规定座位参加考试，或者未经考试工作人员允许擅自离开座位或者考场，经提醒仍不改正的；</w:t>
      </w:r>
    </w:p>
    <w:p w14:paraId="1ED1953D">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（三）经提醒仍不按规定填写、填涂本人信息的；</w:t>
      </w:r>
    </w:p>
    <w:p w14:paraId="695704FF">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（四）在试卷、答题纸、答题卡规定以外位置标注本人信息或者其他特殊标记的；</w:t>
      </w:r>
    </w:p>
    <w:p w14:paraId="4A67A18C">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（五）在考试开始信号发出前答题，或者在考试结束信号发出后继续答题，经提醒仍不停止的；</w:t>
      </w:r>
    </w:p>
    <w:p w14:paraId="04AD5BD1">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（六）将试卷、答题卡、答题纸带出考场，或者故意损坏试卷、答题卡、答题纸及考试相关设施设备的；</w:t>
      </w:r>
    </w:p>
    <w:p w14:paraId="09A8203E">
      <w:pPr>
        <w:keepNext w:val="0"/>
        <w:keepLines w:val="0"/>
        <w:pageBreakBefore w:val="0"/>
        <w:widowControl w:val="0"/>
        <w:kinsoku/>
        <w:wordWrap/>
        <w:overflowPunct/>
        <w:topLinePunct w:val="0"/>
        <w:autoSpaceDE/>
        <w:autoSpaceDN/>
        <w:bidi w:val="0"/>
        <w:adjustRightInd w:val="0"/>
        <w:snapToGrid w:val="0"/>
        <w:spacing w:line="620" w:lineRule="atLeast"/>
        <w:ind w:firstLine="560" w:firstLineChars="200"/>
        <w:textAlignment w:val="auto"/>
        <w:rPr>
          <w:rFonts w:hint="eastAsia" w:ascii="宋体" w:hAnsi="宋体" w:cs="Tahoma"/>
          <w:kern w:val="0"/>
          <w:sz w:val="28"/>
          <w:szCs w:val="28"/>
        </w:rPr>
      </w:pPr>
      <w:r>
        <w:rPr>
          <w:rFonts w:hint="eastAsia" w:ascii="宋体" w:hAnsi="宋体" w:cs="Tahoma"/>
          <w:kern w:val="0"/>
          <w:sz w:val="28"/>
          <w:szCs w:val="28"/>
        </w:rPr>
        <w:t>（七）其他应当给予当次该科目考试成绩无效处理的违纪违规行为。</w:t>
      </w:r>
    </w:p>
    <w:p w14:paraId="11E9B0A9">
      <w:pPr>
        <w:keepNext w:val="0"/>
        <w:keepLines w:val="0"/>
        <w:pageBreakBefore w:val="0"/>
        <w:widowControl w:val="0"/>
        <w:kinsoku/>
        <w:wordWrap/>
        <w:overflowPunct/>
        <w:topLinePunct w:val="0"/>
        <w:autoSpaceDE/>
        <w:autoSpaceDN/>
        <w:bidi w:val="0"/>
        <w:snapToGrid w:val="0"/>
        <w:spacing w:line="620" w:lineRule="atLeast"/>
        <w:ind w:firstLine="560" w:firstLineChars="200"/>
        <w:textAlignment w:val="auto"/>
        <w:rPr>
          <w:rFonts w:ascii="宋体" w:cs="Tahoma"/>
          <w:kern w:val="0"/>
          <w:sz w:val="28"/>
          <w:szCs w:val="28"/>
        </w:rPr>
      </w:pPr>
      <w:r>
        <w:rPr>
          <w:rFonts w:hint="eastAsia" w:ascii="宋体" w:hAnsi="宋体" w:cs="Tahoma"/>
          <w:kern w:val="0"/>
          <w:sz w:val="28"/>
          <w:szCs w:val="28"/>
        </w:rPr>
        <w:t>13</w:t>
      </w:r>
      <w:r>
        <w:rPr>
          <w:rFonts w:ascii="宋体" w:hAnsi="宋体" w:cs="Tahoma"/>
          <w:kern w:val="0"/>
          <w:sz w:val="28"/>
          <w:szCs w:val="28"/>
        </w:rPr>
        <w:t>.</w:t>
      </w:r>
      <w:r>
        <w:rPr>
          <w:rFonts w:hint="eastAsia" w:ascii="宋体" w:hAnsi="宋体" w:cs="Tahoma"/>
          <w:kern w:val="0"/>
          <w:sz w:val="28"/>
          <w:szCs w:val="28"/>
        </w:rPr>
        <w:t>对于在报名过程中出现的问题，我们将在辽宁中医药大学人事处网站和报名系统发布通知通告，请注意关注。报名系统无法显示、无法登录等问题请咨询：13644211745 韩老师 13898886241  张老师  13107816501  姜老师</w:t>
      </w:r>
    </w:p>
    <w:p w14:paraId="4D2AF778">
      <w:pPr>
        <w:keepNext w:val="0"/>
        <w:keepLines w:val="0"/>
        <w:pageBreakBefore w:val="0"/>
        <w:widowControl w:val="0"/>
        <w:kinsoku/>
        <w:wordWrap/>
        <w:overflowPunct/>
        <w:topLinePunct w:val="0"/>
        <w:autoSpaceDE/>
        <w:autoSpaceDN/>
        <w:bidi w:val="0"/>
        <w:snapToGrid w:val="0"/>
        <w:spacing w:line="620" w:lineRule="atLeast"/>
        <w:ind w:firstLine="400"/>
        <w:jc w:val="left"/>
        <w:textAlignment w:val="auto"/>
        <w:rPr>
          <w:rFonts w:ascii="宋体" w:cs="Tahoma"/>
          <w:kern w:val="0"/>
          <w:sz w:val="20"/>
          <w:szCs w:val="20"/>
        </w:rPr>
      </w:pPr>
    </w:p>
    <w:p w14:paraId="046499A7">
      <w:pPr>
        <w:keepNext w:val="0"/>
        <w:keepLines w:val="0"/>
        <w:pageBreakBefore w:val="0"/>
        <w:widowControl w:val="0"/>
        <w:kinsoku/>
        <w:wordWrap/>
        <w:overflowPunct/>
        <w:topLinePunct w:val="0"/>
        <w:autoSpaceDE/>
        <w:autoSpaceDN/>
        <w:bidi w:val="0"/>
        <w:snapToGrid w:val="0"/>
        <w:spacing w:line="620" w:lineRule="atLeast"/>
        <w:ind w:firstLine="400"/>
        <w:jc w:val="left"/>
        <w:textAlignment w:val="auto"/>
        <w:rPr>
          <w:rFonts w:ascii="宋体" w:cs="Tahoma"/>
          <w:kern w:val="0"/>
          <w:sz w:val="20"/>
          <w:szCs w:val="20"/>
        </w:rPr>
      </w:pPr>
    </w:p>
    <w:p w14:paraId="40D60E6F">
      <w:pPr>
        <w:keepNext w:val="0"/>
        <w:keepLines w:val="0"/>
        <w:pageBreakBefore w:val="0"/>
        <w:widowControl w:val="0"/>
        <w:kinsoku/>
        <w:wordWrap/>
        <w:overflowPunct/>
        <w:topLinePunct w:val="0"/>
        <w:autoSpaceDE/>
        <w:autoSpaceDN/>
        <w:bidi w:val="0"/>
        <w:snapToGrid w:val="0"/>
        <w:spacing w:line="620" w:lineRule="atLeast"/>
        <w:ind w:firstLine="400"/>
        <w:jc w:val="left"/>
        <w:textAlignment w:val="auto"/>
        <w:rPr>
          <w:rFonts w:ascii="宋体" w:cs="Tahoma"/>
          <w:kern w:val="0"/>
          <w:sz w:val="20"/>
          <w:szCs w:val="20"/>
        </w:rPr>
      </w:pPr>
    </w:p>
    <w:p w14:paraId="050E52C1">
      <w:pPr>
        <w:keepNext w:val="0"/>
        <w:keepLines w:val="0"/>
        <w:pageBreakBefore w:val="0"/>
        <w:widowControl w:val="0"/>
        <w:kinsoku/>
        <w:wordWrap/>
        <w:overflowPunct/>
        <w:topLinePunct w:val="0"/>
        <w:autoSpaceDE/>
        <w:autoSpaceDN/>
        <w:bidi w:val="0"/>
        <w:snapToGrid w:val="0"/>
        <w:spacing w:line="620" w:lineRule="atLeast"/>
        <w:ind w:firstLine="400"/>
        <w:jc w:val="left"/>
        <w:textAlignment w:val="auto"/>
        <w:rPr>
          <w:rFonts w:ascii="宋体" w:cs="Tahoma"/>
          <w:kern w:val="0"/>
          <w:sz w:val="20"/>
          <w:szCs w:val="20"/>
        </w:rPr>
      </w:pPr>
    </w:p>
    <w:p w14:paraId="22675417">
      <w:pPr>
        <w:keepNext w:val="0"/>
        <w:keepLines w:val="0"/>
        <w:pageBreakBefore w:val="0"/>
        <w:widowControl w:val="0"/>
        <w:kinsoku/>
        <w:wordWrap/>
        <w:overflowPunct/>
        <w:topLinePunct w:val="0"/>
        <w:autoSpaceDE/>
        <w:autoSpaceDN/>
        <w:bidi w:val="0"/>
        <w:snapToGrid w:val="0"/>
        <w:spacing w:line="620" w:lineRule="atLeast"/>
        <w:ind w:firstLine="5320" w:firstLineChars="1900"/>
        <w:jc w:val="left"/>
        <w:textAlignment w:val="auto"/>
        <w:rPr>
          <w:rFonts w:ascii="宋体" w:cs="Tahoma"/>
          <w:kern w:val="0"/>
          <w:sz w:val="20"/>
          <w:szCs w:val="20"/>
        </w:rPr>
      </w:pPr>
      <w:r>
        <w:rPr>
          <w:rFonts w:hint="eastAsia" w:ascii="宋体" w:hAnsi="宋体" w:cs="Tahoma"/>
          <w:kern w:val="0"/>
          <w:sz w:val="28"/>
          <w:szCs w:val="28"/>
        </w:rPr>
        <w:t>辽宁中医药大学人事处</w:t>
      </w:r>
    </w:p>
    <w:p w14:paraId="7111C793">
      <w:pPr>
        <w:keepNext w:val="0"/>
        <w:keepLines w:val="0"/>
        <w:pageBreakBefore w:val="0"/>
        <w:widowControl w:val="0"/>
        <w:kinsoku/>
        <w:wordWrap/>
        <w:overflowPunct/>
        <w:topLinePunct w:val="0"/>
        <w:autoSpaceDE/>
        <w:autoSpaceDN/>
        <w:bidi w:val="0"/>
        <w:snapToGrid w:val="0"/>
        <w:spacing w:line="620" w:lineRule="atLeast"/>
        <w:ind w:firstLine="5600" w:firstLineChars="2000"/>
        <w:jc w:val="left"/>
        <w:textAlignment w:val="auto"/>
        <w:rPr>
          <w:rFonts w:hint="eastAsia" w:ascii="宋体" w:hAnsi="宋体" w:cs="Tahoma"/>
          <w:kern w:val="0"/>
          <w:sz w:val="28"/>
          <w:szCs w:val="28"/>
        </w:rPr>
      </w:pPr>
      <w:r>
        <w:rPr>
          <w:rFonts w:hint="eastAsia" w:ascii="宋体" w:hAnsi="宋体" w:cs="Tahoma"/>
          <w:kern w:val="0"/>
          <w:sz w:val="28"/>
          <w:szCs w:val="28"/>
        </w:rPr>
        <w:t>2025年</w:t>
      </w:r>
      <w:r>
        <w:rPr>
          <w:rFonts w:hint="eastAsia" w:ascii="宋体" w:hAnsi="宋体" w:cs="Tahoma"/>
          <w:kern w:val="0"/>
          <w:sz w:val="28"/>
          <w:szCs w:val="28"/>
          <w:lang w:val="en-US" w:eastAsia="zh-CN"/>
        </w:rPr>
        <w:t>8</w:t>
      </w:r>
      <w:r>
        <w:rPr>
          <w:rFonts w:hint="eastAsia" w:ascii="宋体" w:hAnsi="宋体" w:cs="Tahoma"/>
          <w:kern w:val="0"/>
          <w:sz w:val="28"/>
          <w:szCs w:val="28"/>
        </w:rPr>
        <w:t>月</w:t>
      </w:r>
      <w:r>
        <w:rPr>
          <w:rFonts w:hint="eastAsia" w:ascii="宋体" w:hAnsi="宋体" w:cs="Tahoma"/>
          <w:kern w:val="0"/>
          <w:sz w:val="28"/>
          <w:szCs w:val="28"/>
          <w:lang w:val="en-US" w:eastAsia="zh-CN"/>
        </w:rPr>
        <w:t>28</w:t>
      </w:r>
      <w:r>
        <w:rPr>
          <w:rFonts w:hint="eastAsia" w:ascii="宋体" w:hAnsi="宋体" w:cs="Tahoma"/>
          <w:kern w:val="0"/>
          <w:sz w:val="28"/>
          <w:szCs w:val="28"/>
        </w:rPr>
        <w:t>日</w:t>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C74D9E-D23E-43FF-B381-FC2B90A3ADA6}"/>
  </w:font>
  <w:font w:name="Arial">
    <w:panose1 w:val="020B0604020202020204"/>
    <w:charset w:val="01"/>
    <w:family w:val="swiss"/>
    <w:pitch w:val="default"/>
    <w:sig w:usb0="E0002EFF" w:usb1="C000785B" w:usb2="00000009" w:usb3="00000000" w:csb0="400001FF" w:csb1="FFFF0000"/>
    <w:embedRegular r:id="rId2" w:fontKey="{931C3575-377A-4C7A-9065-08DB9C5FB698}"/>
  </w:font>
  <w:font w:name="黑体">
    <w:panose1 w:val="02010609060101010101"/>
    <w:charset w:val="86"/>
    <w:family w:val="auto"/>
    <w:pitch w:val="default"/>
    <w:sig w:usb0="800002BF" w:usb1="38CF7CFA" w:usb2="00000016" w:usb3="00000000" w:csb0="00040001" w:csb1="00000000"/>
    <w:embedRegular r:id="rId3" w:fontKey="{4FFEDE67-AD4C-440F-B9DA-22515F945E33}"/>
  </w:font>
  <w:font w:name="Courier New">
    <w:panose1 w:val="02070309020205020404"/>
    <w:charset w:val="01"/>
    <w:family w:val="modern"/>
    <w:pitch w:val="default"/>
    <w:sig w:usb0="E0002EFF" w:usb1="C0007843" w:usb2="00000009" w:usb3="00000000" w:csb0="400001FF" w:csb1="FFFF0000"/>
    <w:embedRegular r:id="rId4" w:fontKey="{20164F64-F980-41E9-9354-EA592F02F75A}"/>
  </w:font>
  <w:font w:name="Symbol">
    <w:panose1 w:val="05050102010706020507"/>
    <w:charset w:val="02"/>
    <w:family w:val="roman"/>
    <w:pitch w:val="default"/>
    <w:sig w:usb0="00000000" w:usb1="00000000" w:usb2="00000000" w:usb3="00000000" w:csb0="80000000" w:csb1="00000000"/>
    <w:embedRegular r:id="rId5" w:fontKey="{4D31245D-61A4-4BAB-9D0B-61692E80DF6C}"/>
  </w:font>
  <w:font w:name="Calibri">
    <w:panose1 w:val="020F0502020204030204"/>
    <w:charset w:val="00"/>
    <w:family w:val="swiss"/>
    <w:pitch w:val="default"/>
    <w:sig w:usb0="E4002EFF" w:usb1="C000247B" w:usb2="00000009" w:usb3="00000000" w:csb0="200001FF" w:csb1="00000000"/>
    <w:embedRegular r:id="rId6" w:fontKey="{FF4FCDDD-B8FA-4C4E-B242-07B039E4C04D}"/>
  </w:font>
  <w:font w:name="方正小标宋简体">
    <w:panose1 w:val="03000509000000000000"/>
    <w:charset w:val="86"/>
    <w:family w:val="auto"/>
    <w:pitch w:val="default"/>
    <w:sig w:usb0="00000001" w:usb1="080E0000" w:usb2="00000000" w:usb3="00000000" w:csb0="00040000" w:csb1="00000000"/>
    <w:embedRegular r:id="rId7" w:fontKey="{E36B61BA-467C-404A-98F3-A3DDC955225B}"/>
  </w:font>
  <w:font w:name="Tahoma">
    <w:panose1 w:val="020B0604030504040204"/>
    <w:charset w:val="00"/>
    <w:family w:val="swiss"/>
    <w:pitch w:val="default"/>
    <w:sig w:usb0="E1002EFF" w:usb1="C000605B" w:usb2="00000029" w:usb3="00000000" w:csb0="200101FF" w:csb1="20280000"/>
    <w:embedRegular r:id="rId8" w:fontKey="{B1E6CDA5-2403-4018-8D93-90E09AC74BCC}"/>
  </w:font>
  <w:font w:name="仿宋_GB2312">
    <w:panose1 w:val="02010609030101010101"/>
    <w:charset w:val="86"/>
    <w:family w:val="modern"/>
    <w:pitch w:val="default"/>
    <w:sig w:usb0="00000001" w:usb1="080E0000" w:usb2="00000000" w:usb3="00000000" w:csb0="00040000" w:csb1="00000000"/>
    <w:embedRegular r:id="rId9" w:fontKey="{55E61D6E-CA84-4CE2-917B-980D5CB485E5}"/>
  </w:font>
  <w:font w:name="仿宋">
    <w:panose1 w:val="02010609060101010101"/>
    <w:charset w:val="86"/>
    <w:family w:val="modern"/>
    <w:pitch w:val="default"/>
    <w:sig w:usb0="800002BF" w:usb1="38CF7CFA" w:usb2="00000016" w:usb3="00000000" w:csb0="00040001" w:csb1="00000000"/>
    <w:embedRegular r:id="rId10" w:fontKey="{63535D5E-DFB7-44F5-ACF3-B963F879D7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D7E6F">
    <w:pPr>
      <w:pStyle w:val="3"/>
      <w:ind w:firstLine="360"/>
      <w:jc w:val="center"/>
    </w:pPr>
    <w:r>
      <w:fldChar w:fldCharType="begin"/>
    </w:r>
    <w:r>
      <w:instrText xml:space="preserve"> PAGE   \* MERGEFORMAT </w:instrText>
    </w:r>
    <w:r>
      <w:fldChar w:fldCharType="separate"/>
    </w:r>
    <w:r>
      <w:rPr>
        <w:lang w:val="zh-CN"/>
      </w:rPr>
      <w:t>1</w:t>
    </w:r>
    <w:r>
      <w:fldChar w:fldCharType="end"/>
    </w:r>
  </w:p>
  <w:p w14:paraId="38386AB3">
    <w:pPr>
      <w:pStyle w:val="3"/>
    </w:pPr>
  </w:p>
  <w:p w14:paraId="676230F6"/>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C44CF">
    <w:pPr>
      <w:pStyle w:val="4"/>
      <w:pBdr>
        <w:bottom w:val="none" w:color="auto" w:sz="0" w:space="0"/>
      </w:pBdr>
      <w:ind w:firstLine="360"/>
    </w:pPr>
  </w:p>
  <w:p w14:paraId="45489A0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U3ZTlmNDVjNDNlZThlMjE1MGUzODRlODhhN2FlMWEifQ=="/>
  </w:docVars>
  <w:rsids>
    <w:rsidRoot w:val="000E05EF"/>
    <w:rsid w:val="000029DD"/>
    <w:rsid w:val="00003BEA"/>
    <w:rsid w:val="00004D41"/>
    <w:rsid w:val="00007040"/>
    <w:rsid w:val="000178C6"/>
    <w:rsid w:val="00021A15"/>
    <w:rsid w:val="000223DC"/>
    <w:rsid w:val="0002359C"/>
    <w:rsid w:val="0002545F"/>
    <w:rsid w:val="000261D5"/>
    <w:rsid w:val="00026464"/>
    <w:rsid w:val="00031163"/>
    <w:rsid w:val="00031AA3"/>
    <w:rsid w:val="00033DBD"/>
    <w:rsid w:val="00034B41"/>
    <w:rsid w:val="00037680"/>
    <w:rsid w:val="0004004D"/>
    <w:rsid w:val="000465E3"/>
    <w:rsid w:val="00047C0D"/>
    <w:rsid w:val="00047C34"/>
    <w:rsid w:val="00052187"/>
    <w:rsid w:val="00052892"/>
    <w:rsid w:val="00055F35"/>
    <w:rsid w:val="00060385"/>
    <w:rsid w:val="00063828"/>
    <w:rsid w:val="000659E7"/>
    <w:rsid w:val="00067137"/>
    <w:rsid w:val="0007217F"/>
    <w:rsid w:val="00072A19"/>
    <w:rsid w:val="000748E1"/>
    <w:rsid w:val="000773F4"/>
    <w:rsid w:val="000802EA"/>
    <w:rsid w:val="0008068B"/>
    <w:rsid w:val="00081A5F"/>
    <w:rsid w:val="00082EB7"/>
    <w:rsid w:val="000903B7"/>
    <w:rsid w:val="00094377"/>
    <w:rsid w:val="000A73C8"/>
    <w:rsid w:val="000A7E9D"/>
    <w:rsid w:val="000C0AB6"/>
    <w:rsid w:val="000C13D4"/>
    <w:rsid w:val="000C6886"/>
    <w:rsid w:val="000C69F8"/>
    <w:rsid w:val="000D45BC"/>
    <w:rsid w:val="000D5A95"/>
    <w:rsid w:val="000D6747"/>
    <w:rsid w:val="000D69E2"/>
    <w:rsid w:val="000E05EF"/>
    <w:rsid w:val="000E6ABE"/>
    <w:rsid w:val="000F25E1"/>
    <w:rsid w:val="000F4F92"/>
    <w:rsid w:val="000F7053"/>
    <w:rsid w:val="000F7C15"/>
    <w:rsid w:val="00100F24"/>
    <w:rsid w:val="00104B5C"/>
    <w:rsid w:val="00106E7E"/>
    <w:rsid w:val="00117D22"/>
    <w:rsid w:val="00123EE1"/>
    <w:rsid w:val="0012457C"/>
    <w:rsid w:val="00132B0D"/>
    <w:rsid w:val="001343DF"/>
    <w:rsid w:val="001352A5"/>
    <w:rsid w:val="00140EFF"/>
    <w:rsid w:val="00142121"/>
    <w:rsid w:val="001425C4"/>
    <w:rsid w:val="00142BB2"/>
    <w:rsid w:val="00154DE8"/>
    <w:rsid w:val="001568E0"/>
    <w:rsid w:val="00162B9D"/>
    <w:rsid w:val="00171C6E"/>
    <w:rsid w:val="00172F06"/>
    <w:rsid w:val="00173E55"/>
    <w:rsid w:val="00174708"/>
    <w:rsid w:val="001754D7"/>
    <w:rsid w:val="00176139"/>
    <w:rsid w:val="001810AE"/>
    <w:rsid w:val="001829D2"/>
    <w:rsid w:val="00184C26"/>
    <w:rsid w:val="00184C58"/>
    <w:rsid w:val="001861EF"/>
    <w:rsid w:val="0019105D"/>
    <w:rsid w:val="001929CD"/>
    <w:rsid w:val="001A211B"/>
    <w:rsid w:val="001A3774"/>
    <w:rsid w:val="001A3BD6"/>
    <w:rsid w:val="001A4253"/>
    <w:rsid w:val="001A5456"/>
    <w:rsid w:val="001B3EAE"/>
    <w:rsid w:val="001B427F"/>
    <w:rsid w:val="001B4A11"/>
    <w:rsid w:val="001B4F3F"/>
    <w:rsid w:val="001C1928"/>
    <w:rsid w:val="001D2CDD"/>
    <w:rsid w:val="001D34D0"/>
    <w:rsid w:val="001D4E78"/>
    <w:rsid w:val="001E048F"/>
    <w:rsid w:val="001E3D2A"/>
    <w:rsid w:val="001F0492"/>
    <w:rsid w:val="001F158F"/>
    <w:rsid w:val="002049AB"/>
    <w:rsid w:val="00205A8A"/>
    <w:rsid w:val="00205DDB"/>
    <w:rsid w:val="00207B50"/>
    <w:rsid w:val="0021065E"/>
    <w:rsid w:val="002111D5"/>
    <w:rsid w:val="00215FD0"/>
    <w:rsid w:val="002163BC"/>
    <w:rsid w:val="00216E84"/>
    <w:rsid w:val="00217174"/>
    <w:rsid w:val="00225222"/>
    <w:rsid w:val="002256A3"/>
    <w:rsid w:val="00227A0A"/>
    <w:rsid w:val="0023229D"/>
    <w:rsid w:val="00233718"/>
    <w:rsid w:val="002347CC"/>
    <w:rsid w:val="00235183"/>
    <w:rsid w:val="00236FCD"/>
    <w:rsid w:val="00237484"/>
    <w:rsid w:val="00237525"/>
    <w:rsid w:val="00247D4B"/>
    <w:rsid w:val="0025018C"/>
    <w:rsid w:val="00254DD9"/>
    <w:rsid w:val="00255388"/>
    <w:rsid w:val="00255638"/>
    <w:rsid w:val="002560D7"/>
    <w:rsid w:val="002633FF"/>
    <w:rsid w:val="0026746A"/>
    <w:rsid w:val="00271E8E"/>
    <w:rsid w:val="00276101"/>
    <w:rsid w:val="00280B20"/>
    <w:rsid w:val="00281AF1"/>
    <w:rsid w:val="0028563B"/>
    <w:rsid w:val="0028593D"/>
    <w:rsid w:val="00294569"/>
    <w:rsid w:val="00294ACC"/>
    <w:rsid w:val="00294EA8"/>
    <w:rsid w:val="0029610D"/>
    <w:rsid w:val="002A0CEE"/>
    <w:rsid w:val="002A1054"/>
    <w:rsid w:val="002B019B"/>
    <w:rsid w:val="002B4C3D"/>
    <w:rsid w:val="002B5697"/>
    <w:rsid w:val="002B7674"/>
    <w:rsid w:val="002C1127"/>
    <w:rsid w:val="002C1F42"/>
    <w:rsid w:val="002D2A9C"/>
    <w:rsid w:val="002D7166"/>
    <w:rsid w:val="002E24F0"/>
    <w:rsid w:val="002E7BAA"/>
    <w:rsid w:val="002F00D2"/>
    <w:rsid w:val="002F080A"/>
    <w:rsid w:val="002F0D44"/>
    <w:rsid w:val="002F13AD"/>
    <w:rsid w:val="002F598A"/>
    <w:rsid w:val="002F6F9D"/>
    <w:rsid w:val="002F7518"/>
    <w:rsid w:val="00304174"/>
    <w:rsid w:val="00304D6D"/>
    <w:rsid w:val="00306868"/>
    <w:rsid w:val="00310A56"/>
    <w:rsid w:val="00311445"/>
    <w:rsid w:val="00311870"/>
    <w:rsid w:val="00317F40"/>
    <w:rsid w:val="00320620"/>
    <w:rsid w:val="003218D9"/>
    <w:rsid w:val="0032231F"/>
    <w:rsid w:val="003262D5"/>
    <w:rsid w:val="003276C3"/>
    <w:rsid w:val="00327D1D"/>
    <w:rsid w:val="0033363E"/>
    <w:rsid w:val="00335211"/>
    <w:rsid w:val="00340367"/>
    <w:rsid w:val="0034071A"/>
    <w:rsid w:val="00340C05"/>
    <w:rsid w:val="0034375A"/>
    <w:rsid w:val="00356754"/>
    <w:rsid w:val="00356763"/>
    <w:rsid w:val="00360ABC"/>
    <w:rsid w:val="003620CE"/>
    <w:rsid w:val="00362430"/>
    <w:rsid w:val="00362CD4"/>
    <w:rsid w:val="003641F1"/>
    <w:rsid w:val="00371D7A"/>
    <w:rsid w:val="003720B7"/>
    <w:rsid w:val="003722FC"/>
    <w:rsid w:val="003732BB"/>
    <w:rsid w:val="00374029"/>
    <w:rsid w:val="0037447F"/>
    <w:rsid w:val="00375E3F"/>
    <w:rsid w:val="00380DFF"/>
    <w:rsid w:val="003813BD"/>
    <w:rsid w:val="0038172C"/>
    <w:rsid w:val="00381EC5"/>
    <w:rsid w:val="00383ACF"/>
    <w:rsid w:val="00385B1E"/>
    <w:rsid w:val="00386538"/>
    <w:rsid w:val="003869A3"/>
    <w:rsid w:val="00386F2E"/>
    <w:rsid w:val="00387CE6"/>
    <w:rsid w:val="00391BE9"/>
    <w:rsid w:val="00393006"/>
    <w:rsid w:val="00393FC2"/>
    <w:rsid w:val="00394E31"/>
    <w:rsid w:val="00395BD8"/>
    <w:rsid w:val="003961F3"/>
    <w:rsid w:val="003A03E7"/>
    <w:rsid w:val="003A1EB3"/>
    <w:rsid w:val="003A2798"/>
    <w:rsid w:val="003A4199"/>
    <w:rsid w:val="003A6131"/>
    <w:rsid w:val="003B32B9"/>
    <w:rsid w:val="003B486B"/>
    <w:rsid w:val="003B6D52"/>
    <w:rsid w:val="003B74A5"/>
    <w:rsid w:val="003B7DA4"/>
    <w:rsid w:val="003C5760"/>
    <w:rsid w:val="003E2CF0"/>
    <w:rsid w:val="003E5FFF"/>
    <w:rsid w:val="003F3F06"/>
    <w:rsid w:val="003F51DF"/>
    <w:rsid w:val="0040739C"/>
    <w:rsid w:val="00411117"/>
    <w:rsid w:val="00412D45"/>
    <w:rsid w:val="00427063"/>
    <w:rsid w:val="00435F16"/>
    <w:rsid w:val="00436C21"/>
    <w:rsid w:val="00442C12"/>
    <w:rsid w:val="00450CF4"/>
    <w:rsid w:val="00451859"/>
    <w:rsid w:val="004536B2"/>
    <w:rsid w:val="00455380"/>
    <w:rsid w:val="004628B0"/>
    <w:rsid w:val="00464A03"/>
    <w:rsid w:val="00465901"/>
    <w:rsid w:val="004712CC"/>
    <w:rsid w:val="00471359"/>
    <w:rsid w:val="00472C27"/>
    <w:rsid w:val="00473053"/>
    <w:rsid w:val="0047513F"/>
    <w:rsid w:val="00475FDF"/>
    <w:rsid w:val="00476D71"/>
    <w:rsid w:val="00480627"/>
    <w:rsid w:val="00481DCC"/>
    <w:rsid w:val="004826E4"/>
    <w:rsid w:val="00483BE6"/>
    <w:rsid w:val="00486F96"/>
    <w:rsid w:val="00490158"/>
    <w:rsid w:val="004931EE"/>
    <w:rsid w:val="00494413"/>
    <w:rsid w:val="004A0409"/>
    <w:rsid w:val="004A3202"/>
    <w:rsid w:val="004A484E"/>
    <w:rsid w:val="004A4A7F"/>
    <w:rsid w:val="004A68A5"/>
    <w:rsid w:val="004A6C5B"/>
    <w:rsid w:val="004B0380"/>
    <w:rsid w:val="004B07CF"/>
    <w:rsid w:val="004B3259"/>
    <w:rsid w:val="004B6192"/>
    <w:rsid w:val="004B6C57"/>
    <w:rsid w:val="004B7006"/>
    <w:rsid w:val="004B718C"/>
    <w:rsid w:val="004C0B1D"/>
    <w:rsid w:val="004C21C9"/>
    <w:rsid w:val="004C7C6F"/>
    <w:rsid w:val="004D3847"/>
    <w:rsid w:val="004D3EF1"/>
    <w:rsid w:val="004E0B27"/>
    <w:rsid w:val="004E54EF"/>
    <w:rsid w:val="004E5A14"/>
    <w:rsid w:val="004E6DBA"/>
    <w:rsid w:val="004E6FA8"/>
    <w:rsid w:val="004E78B7"/>
    <w:rsid w:val="004F027E"/>
    <w:rsid w:val="004F1A92"/>
    <w:rsid w:val="004F4A8A"/>
    <w:rsid w:val="004F603B"/>
    <w:rsid w:val="004F7A14"/>
    <w:rsid w:val="00506638"/>
    <w:rsid w:val="00510647"/>
    <w:rsid w:val="00516C8A"/>
    <w:rsid w:val="00517541"/>
    <w:rsid w:val="005227F1"/>
    <w:rsid w:val="00531604"/>
    <w:rsid w:val="00532AFE"/>
    <w:rsid w:val="005414B8"/>
    <w:rsid w:val="005439DA"/>
    <w:rsid w:val="0054619D"/>
    <w:rsid w:val="005468CE"/>
    <w:rsid w:val="00546D51"/>
    <w:rsid w:val="00547E4B"/>
    <w:rsid w:val="005505D2"/>
    <w:rsid w:val="00553900"/>
    <w:rsid w:val="00553E68"/>
    <w:rsid w:val="0055468F"/>
    <w:rsid w:val="00554888"/>
    <w:rsid w:val="00555DB8"/>
    <w:rsid w:val="005571CA"/>
    <w:rsid w:val="00561AB3"/>
    <w:rsid w:val="00561B97"/>
    <w:rsid w:val="005628F9"/>
    <w:rsid w:val="005645B5"/>
    <w:rsid w:val="00567F50"/>
    <w:rsid w:val="005703F2"/>
    <w:rsid w:val="00571EDA"/>
    <w:rsid w:val="005727C7"/>
    <w:rsid w:val="005748BA"/>
    <w:rsid w:val="00575E72"/>
    <w:rsid w:val="0058283B"/>
    <w:rsid w:val="0058324E"/>
    <w:rsid w:val="0058441C"/>
    <w:rsid w:val="005858B8"/>
    <w:rsid w:val="005867E8"/>
    <w:rsid w:val="0059100C"/>
    <w:rsid w:val="0059300D"/>
    <w:rsid w:val="005931ED"/>
    <w:rsid w:val="00596E94"/>
    <w:rsid w:val="005A1674"/>
    <w:rsid w:val="005A25B3"/>
    <w:rsid w:val="005A36A6"/>
    <w:rsid w:val="005A4C23"/>
    <w:rsid w:val="005B2D9B"/>
    <w:rsid w:val="005B5C53"/>
    <w:rsid w:val="005B6E44"/>
    <w:rsid w:val="005C12C9"/>
    <w:rsid w:val="005C1699"/>
    <w:rsid w:val="005C4571"/>
    <w:rsid w:val="005C47EA"/>
    <w:rsid w:val="005C64AE"/>
    <w:rsid w:val="005C791D"/>
    <w:rsid w:val="005D16F7"/>
    <w:rsid w:val="005D1E9F"/>
    <w:rsid w:val="005D26FF"/>
    <w:rsid w:val="005D4A33"/>
    <w:rsid w:val="005D6689"/>
    <w:rsid w:val="005D758E"/>
    <w:rsid w:val="005D7D36"/>
    <w:rsid w:val="005F28F9"/>
    <w:rsid w:val="005F3EEC"/>
    <w:rsid w:val="005F5C06"/>
    <w:rsid w:val="005F6149"/>
    <w:rsid w:val="00600C89"/>
    <w:rsid w:val="00606B62"/>
    <w:rsid w:val="00611BBD"/>
    <w:rsid w:val="0061248F"/>
    <w:rsid w:val="00612F5E"/>
    <w:rsid w:val="006166D2"/>
    <w:rsid w:val="0061783D"/>
    <w:rsid w:val="006220F4"/>
    <w:rsid w:val="006223D8"/>
    <w:rsid w:val="006313F4"/>
    <w:rsid w:val="00631B10"/>
    <w:rsid w:val="00631F61"/>
    <w:rsid w:val="00635480"/>
    <w:rsid w:val="006355B4"/>
    <w:rsid w:val="00636C37"/>
    <w:rsid w:val="00645E08"/>
    <w:rsid w:val="00647158"/>
    <w:rsid w:val="00651CEF"/>
    <w:rsid w:val="00655172"/>
    <w:rsid w:val="00657483"/>
    <w:rsid w:val="00662C0B"/>
    <w:rsid w:val="006722AB"/>
    <w:rsid w:val="006745E2"/>
    <w:rsid w:val="0068304F"/>
    <w:rsid w:val="00685796"/>
    <w:rsid w:val="00686B7C"/>
    <w:rsid w:val="0069349B"/>
    <w:rsid w:val="00694F1E"/>
    <w:rsid w:val="006960B8"/>
    <w:rsid w:val="006A13D8"/>
    <w:rsid w:val="006A4FC3"/>
    <w:rsid w:val="006B2E9B"/>
    <w:rsid w:val="006B3FD2"/>
    <w:rsid w:val="006B4F4C"/>
    <w:rsid w:val="006B54ED"/>
    <w:rsid w:val="006B5AB2"/>
    <w:rsid w:val="006B6392"/>
    <w:rsid w:val="006C254B"/>
    <w:rsid w:val="006C2F28"/>
    <w:rsid w:val="006D26F5"/>
    <w:rsid w:val="006D2B47"/>
    <w:rsid w:val="006D4B54"/>
    <w:rsid w:val="006D618C"/>
    <w:rsid w:val="006E0D30"/>
    <w:rsid w:val="006E19CF"/>
    <w:rsid w:val="006E2A45"/>
    <w:rsid w:val="006E368E"/>
    <w:rsid w:val="006E37FC"/>
    <w:rsid w:val="006E56D7"/>
    <w:rsid w:val="006F00CF"/>
    <w:rsid w:val="006F0114"/>
    <w:rsid w:val="006F77D1"/>
    <w:rsid w:val="00700EF3"/>
    <w:rsid w:val="0070454E"/>
    <w:rsid w:val="007145E5"/>
    <w:rsid w:val="00722776"/>
    <w:rsid w:val="00723529"/>
    <w:rsid w:val="0072641B"/>
    <w:rsid w:val="00726FF0"/>
    <w:rsid w:val="007276A6"/>
    <w:rsid w:val="00730065"/>
    <w:rsid w:val="0073077A"/>
    <w:rsid w:val="0073444B"/>
    <w:rsid w:val="007417DE"/>
    <w:rsid w:val="0074585D"/>
    <w:rsid w:val="00747114"/>
    <w:rsid w:val="00752D4A"/>
    <w:rsid w:val="00756EE8"/>
    <w:rsid w:val="0076417F"/>
    <w:rsid w:val="00766B27"/>
    <w:rsid w:val="00767C53"/>
    <w:rsid w:val="00771E32"/>
    <w:rsid w:val="00772076"/>
    <w:rsid w:val="00773590"/>
    <w:rsid w:val="00775B49"/>
    <w:rsid w:val="00775DF6"/>
    <w:rsid w:val="0077687A"/>
    <w:rsid w:val="00784F06"/>
    <w:rsid w:val="0078565B"/>
    <w:rsid w:val="00794567"/>
    <w:rsid w:val="00795C76"/>
    <w:rsid w:val="00795CC0"/>
    <w:rsid w:val="007A1571"/>
    <w:rsid w:val="007B33A6"/>
    <w:rsid w:val="007C0ED8"/>
    <w:rsid w:val="007C2A8A"/>
    <w:rsid w:val="007C3869"/>
    <w:rsid w:val="007C6157"/>
    <w:rsid w:val="007D082D"/>
    <w:rsid w:val="007D135E"/>
    <w:rsid w:val="007D1B5D"/>
    <w:rsid w:val="007D468A"/>
    <w:rsid w:val="007D5403"/>
    <w:rsid w:val="007D5EE3"/>
    <w:rsid w:val="007D64F6"/>
    <w:rsid w:val="007E0289"/>
    <w:rsid w:val="007E1347"/>
    <w:rsid w:val="007E4A7C"/>
    <w:rsid w:val="007F0C9D"/>
    <w:rsid w:val="007F53BC"/>
    <w:rsid w:val="007F5A99"/>
    <w:rsid w:val="007F7DB9"/>
    <w:rsid w:val="00804035"/>
    <w:rsid w:val="008045A0"/>
    <w:rsid w:val="00806292"/>
    <w:rsid w:val="00806BB1"/>
    <w:rsid w:val="00812902"/>
    <w:rsid w:val="008161BC"/>
    <w:rsid w:val="00821971"/>
    <w:rsid w:val="00826CC0"/>
    <w:rsid w:val="0082709A"/>
    <w:rsid w:val="0083301E"/>
    <w:rsid w:val="00834AFA"/>
    <w:rsid w:val="00836F73"/>
    <w:rsid w:val="00837963"/>
    <w:rsid w:val="008455A6"/>
    <w:rsid w:val="00850A46"/>
    <w:rsid w:val="008549A3"/>
    <w:rsid w:val="0086692F"/>
    <w:rsid w:val="00872B6F"/>
    <w:rsid w:val="0087685D"/>
    <w:rsid w:val="0088685F"/>
    <w:rsid w:val="00887365"/>
    <w:rsid w:val="00891412"/>
    <w:rsid w:val="00891868"/>
    <w:rsid w:val="00893BCB"/>
    <w:rsid w:val="00895C16"/>
    <w:rsid w:val="008A5545"/>
    <w:rsid w:val="008B2B0B"/>
    <w:rsid w:val="008B3EFF"/>
    <w:rsid w:val="008B4AA4"/>
    <w:rsid w:val="008B4C35"/>
    <w:rsid w:val="008B4D77"/>
    <w:rsid w:val="008B5E3E"/>
    <w:rsid w:val="008B64A1"/>
    <w:rsid w:val="008B6585"/>
    <w:rsid w:val="008B773C"/>
    <w:rsid w:val="008C1766"/>
    <w:rsid w:val="008C1C19"/>
    <w:rsid w:val="008D06D9"/>
    <w:rsid w:val="008D20C8"/>
    <w:rsid w:val="008D33D3"/>
    <w:rsid w:val="008D4C91"/>
    <w:rsid w:val="008D7073"/>
    <w:rsid w:val="008E02C5"/>
    <w:rsid w:val="008E1C7F"/>
    <w:rsid w:val="008E2F65"/>
    <w:rsid w:val="008E5841"/>
    <w:rsid w:val="008E5DB4"/>
    <w:rsid w:val="008F02D4"/>
    <w:rsid w:val="008F1293"/>
    <w:rsid w:val="008F3720"/>
    <w:rsid w:val="008F630E"/>
    <w:rsid w:val="008F7D8E"/>
    <w:rsid w:val="00903289"/>
    <w:rsid w:val="009101C8"/>
    <w:rsid w:val="009110CC"/>
    <w:rsid w:val="00911EF6"/>
    <w:rsid w:val="009160D1"/>
    <w:rsid w:val="00920AB3"/>
    <w:rsid w:val="00920F98"/>
    <w:rsid w:val="009225D5"/>
    <w:rsid w:val="0092281F"/>
    <w:rsid w:val="00922A3F"/>
    <w:rsid w:val="009252A4"/>
    <w:rsid w:val="00925758"/>
    <w:rsid w:val="0092590C"/>
    <w:rsid w:val="00932B22"/>
    <w:rsid w:val="00934521"/>
    <w:rsid w:val="00934D01"/>
    <w:rsid w:val="00940118"/>
    <w:rsid w:val="009422A6"/>
    <w:rsid w:val="00945340"/>
    <w:rsid w:val="0095040B"/>
    <w:rsid w:val="009504B2"/>
    <w:rsid w:val="009515BA"/>
    <w:rsid w:val="00953302"/>
    <w:rsid w:val="00953F26"/>
    <w:rsid w:val="009544BA"/>
    <w:rsid w:val="00965D12"/>
    <w:rsid w:val="0096779B"/>
    <w:rsid w:val="00967EAC"/>
    <w:rsid w:val="00972119"/>
    <w:rsid w:val="00973345"/>
    <w:rsid w:val="0097606B"/>
    <w:rsid w:val="009804C7"/>
    <w:rsid w:val="00985600"/>
    <w:rsid w:val="009856BD"/>
    <w:rsid w:val="009859D8"/>
    <w:rsid w:val="00985C56"/>
    <w:rsid w:val="00987252"/>
    <w:rsid w:val="00987945"/>
    <w:rsid w:val="009A0651"/>
    <w:rsid w:val="009A1003"/>
    <w:rsid w:val="009A261B"/>
    <w:rsid w:val="009A7ECC"/>
    <w:rsid w:val="009B405D"/>
    <w:rsid w:val="009B5C62"/>
    <w:rsid w:val="009B6901"/>
    <w:rsid w:val="009B7035"/>
    <w:rsid w:val="009B7094"/>
    <w:rsid w:val="009C5FB8"/>
    <w:rsid w:val="009C67FF"/>
    <w:rsid w:val="009D2F48"/>
    <w:rsid w:val="009D4275"/>
    <w:rsid w:val="009D5EAD"/>
    <w:rsid w:val="009E167F"/>
    <w:rsid w:val="009E4E8C"/>
    <w:rsid w:val="009E5B53"/>
    <w:rsid w:val="009F1357"/>
    <w:rsid w:val="009F781F"/>
    <w:rsid w:val="00A01D9A"/>
    <w:rsid w:val="00A02D65"/>
    <w:rsid w:val="00A03E0F"/>
    <w:rsid w:val="00A053A9"/>
    <w:rsid w:val="00A06061"/>
    <w:rsid w:val="00A1357D"/>
    <w:rsid w:val="00A1577E"/>
    <w:rsid w:val="00A239B5"/>
    <w:rsid w:val="00A23A5A"/>
    <w:rsid w:val="00A243F4"/>
    <w:rsid w:val="00A24798"/>
    <w:rsid w:val="00A24E60"/>
    <w:rsid w:val="00A2661E"/>
    <w:rsid w:val="00A30FF5"/>
    <w:rsid w:val="00A311AD"/>
    <w:rsid w:val="00A3536D"/>
    <w:rsid w:val="00A40FC1"/>
    <w:rsid w:val="00A443D3"/>
    <w:rsid w:val="00A47327"/>
    <w:rsid w:val="00A54A4D"/>
    <w:rsid w:val="00A62F2C"/>
    <w:rsid w:val="00A664B6"/>
    <w:rsid w:val="00A72D62"/>
    <w:rsid w:val="00A73C31"/>
    <w:rsid w:val="00A748C6"/>
    <w:rsid w:val="00A76236"/>
    <w:rsid w:val="00A77318"/>
    <w:rsid w:val="00A82BCA"/>
    <w:rsid w:val="00A83605"/>
    <w:rsid w:val="00A90AD4"/>
    <w:rsid w:val="00A91259"/>
    <w:rsid w:val="00A913D8"/>
    <w:rsid w:val="00A917B6"/>
    <w:rsid w:val="00A91EF1"/>
    <w:rsid w:val="00A91EFB"/>
    <w:rsid w:val="00A93BF5"/>
    <w:rsid w:val="00A94861"/>
    <w:rsid w:val="00A95F68"/>
    <w:rsid w:val="00A960EF"/>
    <w:rsid w:val="00A97F5E"/>
    <w:rsid w:val="00AA2E03"/>
    <w:rsid w:val="00AA38D0"/>
    <w:rsid w:val="00AA3928"/>
    <w:rsid w:val="00AA6786"/>
    <w:rsid w:val="00AB375C"/>
    <w:rsid w:val="00AB7092"/>
    <w:rsid w:val="00AB7DE4"/>
    <w:rsid w:val="00AC33A1"/>
    <w:rsid w:val="00AC38C7"/>
    <w:rsid w:val="00AC3E27"/>
    <w:rsid w:val="00AD2BA9"/>
    <w:rsid w:val="00AD3915"/>
    <w:rsid w:val="00AD4BDD"/>
    <w:rsid w:val="00AE1C0C"/>
    <w:rsid w:val="00AE6EA7"/>
    <w:rsid w:val="00AF04CD"/>
    <w:rsid w:val="00AF0CCA"/>
    <w:rsid w:val="00AF2C92"/>
    <w:rsid w:val="00AF5E5D"/>
    <w:rsid w:val="00AF7E85"/>
    <w:rsid w:val="00B07652"/>
    <w:rsid w:val="00B12E47"/>
    <w:rsid w:val="00B14877"/>
    <w:rsid w:val="00B14A3B"/>
    <w:rsid w:val="00B14B6C"/>
    <w:rsid w:val="00B179CD"/>
    <w:rsid w:val="00B22978"/>
    <w:rsid w:val="00B2388E"/>
    <w:rsid w:val="00B25A0F"/>
    <w:rsid w:val="00B2762E"/>
    <w:rsid w:val="00B3508B"/>
    <w:rsid w:val="00B359B3"/>
    <w:rsid w:val="00B35C04"/>
    <w:rsid w:val="00B37D55"/>
    <w:rsid w:val="00B449CB"/>
    <w:rsid w:val="00B45468"/>
    <w:rsid w:val="00B50B4D"/>
    <w:rsid w:val="00B51C5F"/>
    <w:rsid w:val="00B52483"/>
    <w:rsid w:val="00B56A85"/>
    <w:rsid w:val="00B65DA0"/>
    <w:rsid w:val="00B71541"/>
    <w:rsid w:val="00B71CAA"/>
    <w:rsid w:val="00B72AF5"/>
    <w:rsid w:val="00B73A90"/>
    <w:rsid w:val="00B75110"/>
    <w:rsid w:val="00B778CA"/>
    <w:rsid w:val="00B83210"/>
    <w:rsid w:val="00B85259"/>
    <w:rsid w:val="00B86D06"/>
    <w:rsid w:val="00B9025B"/>
    <w:rsid w:val="00B91FF3"/>
    <w:rsid w:val="00B93276"/>
    <w:rsid w:val="00B934DB"/>
    <w:rsid w:val="00B94AC1"/>
    <w:rsid w:val="00BA0E6A"/>
    <w:rsid w:val="00BA43C2"/>
    <w:rsid w:val="00BA5DD2"/>
    <w:rsid w:val="00BA6D81"/>
    <w:rsid w:val="00BA7084"/>
    <w:rsid w:val="00BB08EC"/>
    <w:rsid w:val="00BB1475"/>
    <w:rsid w:val="00BB310E"/>
    <w:rsid w:val="00BB623A"/>
    <w:rsid w:val="00BB6C39"/>
    <w:rsid w:val="00BB75B6"/>
    <w:rsid w:val="00BC7C8C"/>
    <w:rsid w:val="00BD1755"/>
    <w:rsid w:val="00BD2DEF"/>
    <w:rsid w:val="00BD7CC2"/>
    <w:rsid w:val="00BE430C"/>
    <w:rsid w:val="00BE43C9"/>
    <w:rsid w:val="00BF0B32"/>
    <w:rsid w:val="00BF1C52"/>
    <w:rsid w:val="00BF1DE4"/>
    <w:rsid w:val="00BF462D"/>
    <w:rsid w:val="00BF5509"/>
    <w:rsid w:val="00C01D3C"/>
    <w:rsid w:val="00C03B25"/>
    <w:rsid w:val="00C048C1"/>
    <w:rsid w:val="00C101B7"/>
    <w:rsid w:val="00C12F48"/>
    <w:rsid w:val="00C13CA4"/>
    <w:rsid w:val="00C14E36"/>
    <w:rsid w:val="00C1658E"/>
    <w:rsid w:val="00C22989"/>
    <w:rsid w:val="00C23257"/>
    <w:rsid w:val="00C2610E"/>
    <w:rsid w:val="00C27B8E"/>
    <w:rsid w:val="00C34FE3"/>
    <w:rsid w:val="00C374D2"/>
    <w:rsid w:val="00C40AC7"/>
    <w:rsid w:val="00C44EC3"/>
    <w:rsid w:val="00C454D9"/>
    <w:rsid w:val="00C500DE"/>
    <w:rsid w:val="00C50A60"/>
    <w:rsid w:val="00C54433"/>
    <w:rsid w:val="00C54FA1"/>
    <w:rsid w:val="00C568BE"/>
    <w:rsid w:val="00C60163"/>
    <w:rsid w:val="00C60673"/>
    <w:rsid w:val="00C766E7"/>
    <w:rsid w:val="00C82D58"/>
    <w:rsid w:val="00C83257"/>
    <w:rsid w:val="00C90367"/>
    <w:rsid w:val="00C90BF4"/>
    <w:rsid w:val="00C91AC9"/>
    <w:rsid w:val="00C93B29"/>
    <w:rsid w:val="00C9404C"/>
    <w:rsid w:val="00C96B9E"/>
    <w:rsid w:val="00CA3F2E"/>
    <w:rsid w:val="00CA587D"/>
    <w:rsid w:val="00CB58FC"/>
    <w:rsid w:val="00CC2BD3"/>
    <w:rsid w:val="00CC2FE4"/>
    <w:rsid w:val="00CC33E9"/>
    <w:rsid w:val="00CC392C"/>
    <w:rsid w:val="00CC445D"/>
    <w:rsid w:val="00CC6DD3"/>
    <w:rsid w:val="00CD37B7"/>
    <w:rsid w:val="00CD55B9"/>
    <w:rsid w:val="00CD62E3"/>
    <w:rsid w:val="00CD7D16"/>
    <w:rsid w:val="00CE1E64"/>
    <w:rsid w:val="00CE28D0"/>
    <w:rsid w:val="00CE7C73"/>
    <w:rsid w:val="00CE7FBA"/>
    <w:rsid w:val="00CF106A"/>
    <w:rsid w:val="00CF24BA"/>
    <w:rsid w:val="00CF3FF9"/>
    <w:rsid w:val="00CF6A64"/>
    <w:rsid w:val="00D07CFE"/>
    <w:rsid w:val="00D1079E"/>
    <w:rsid w:val="00D12005"/>
    <w:rsid w:val="00D122D1"/>
    <w:rsid w:val="00D14FFD"/>
    <w:rsid w:val="00D27827"/>
    <w:rsid w:val="00D27E3D"/>
    <w:rsid w:val="00D30ABC"/>
    <w:rsid w:val="00D30D8C"/>
    <w:rsid w:val="00D339FB"/>
    <w:rsid w:val="00D37666"/>
    <w:rsid w:val="00D37B38"/>
    <w:rsid w:val="00D4100C"/>
    <w:rsid w:val="00D4478F"/>
    <w:rsid w:val="00D47E98"/>
    <w:rsid w:val="00D50F1D"/>
    <w:rsid w:val="00D60BD6"/>
    <w:rsid w:val="00D62DEA"/>
    <w:rsid w:val="00D632BE"/>
    <w:rsid w:val="00D649CD"/>
    <w:rsid w:val="00D707B6"/>
    <w:rsid w:val="00D70E60"/>
    <w:rsid w:val="00D70FAE"/>
    <w:rsid w:val="00D717A8"/>
    <w:rsid w:val="00D83381"/>
    <w:rsid w:val="00D84CE1"/>
    <w:rsid w:val="00D87240"/>
    <w:rsid w:val="00D87875"/>
    <w:rsid w:val="00D92F27"/>
    <w:rsid w:val="00D94779"/>
    <w:rsid w:val="00D947C0"/>
    <w:rsid w:val="00DA571F"/>
    <w:rsid w:val="00DB385B"/>
    <w:rsid w:val="00DB6DED"/>
    <w:rsid w:val="00DB7AFB"/>
    <w:rsid w:val="00DC130F"/>
    <w:rsid w:val="00DC3211"/>
    <w:rsid w:val="00DC3B33"/>
    <w:rsid w:val="00DC42EC"/>
    <w:rsid w:val="00DC5AB6"/>
    <w:rsid w:val="00DC5F3F"/>
    <w:rsid w:val="00DD6300"/>
    <w:rsid w:val="00DE1739"/>
    <w:rsid w:val="00DE5E8F"/>
    <w:rsid w:val="00DF134F"/>
    <w:rsid w:val="00DF14A6"/>
    <w:rsid w:val="00DF2417"/>
    <w:rsid w:val="00DF45C5"/>
    <w:rsid w:val="00DF4B7D"/>
    <w:rsid w:val="00DF6F66"/>
    <w:rsid w:val="00DF7AE0"/>
    <w:rsid w:val="00E01618"/>
    <w:rsid w:val="00E023B1"/>
    <w:rsid w:val="00E049C1"/>
    <w:rsid w:val="00E062D7"/>
    <w:rsid w:val="00E1142E"/>
    <w:rsid w:val="00E20336"/>
    <w:rsid w:val="00E213BC"/>
    <w:rsid w:val="00E21C15"/>
    <w:rsid w:val="00E24160"/>
    <w:rsid w:val="00E24488"/>
    <w:rsid w:val="00E35077"/>
    <w:rsid w:val="00E35B9E"/>
    <w:rsid w:val="00E41A57"/>
    <w:rsid w:val="00E41EA6"/>
    <w:rsid w:val="00E509D0"/>
    <w:rsid w:val="00E51D76"/>
    <w:rsid w:val="00E55209"/>
    <w:rsid w:val="00E5796D"/>
    <w:rsid w:val="00E61C1B"/>
    <w:rsid w:val="00E6238E"/>
    <w:rsid w:val="00E72BEC"/>
    <w:rsid w:val="00E73B7F"/>
    <w:rsid w:val="00E74645"/>
    <w:rsid w:val="00E81148"/>
    <w:rsid w:val="00E820D0"/>
    <w:rsid w:val="00E82851"/>
    <w:rsid w:val="00E83071"/>
    <w:rsid w:val="00E85E76"/>
    <w:rsid w:val="00E86C47"/>
    <w:rsid w:val="00E91D57"/>
    <w:rsid w:val="00E960A1"/>
    <w:rsid w:val="00E97D35"/>
    <w:rsid w:val="00EA0D90"/>
    <w:rsid w:val="00EA37A2"/>
    <w:rsid w:val="00EA3942"/>
    <w:rsid w:val="00EA52C0"/>
    <w:rsid w:val="00EA6085"/>
    <w:rsid w:val="00EA7D91"/>
    <w:rsid w:val="00EB1483"/>
    <w:rsid w:val="00EB3C58"/>
    <w:rsid w:val="00EC21AC"/>
    <w:rsid w:val="00EC2AA8"/>
    <w:rsid w:val="00EC5447"/>
    <w:rsid w:val="00ED0146"/>
    <w:rsid w:val="00ED0848"/>
    <w:rsid w:val="00ED3CDC"/>
    <w:rsid w:val="00ED3FA6"/>
    <w:rsid w:val="00ED439F"/>
    <w:rsid w:val="00ED7FB8"/>
    <w:rsid w:val="00EE16A4"/>
    <w:rsid w:val="00EE4530"/>
    <w:rsid w:val="00EE5B38"/>
    <w:rsid w:val="00EE77F8"/>
    <w:rsid w:val="00EF146E"/>
    <w:rsid w:val="00EF15C0"/>
    <w:rsid w:val="00EF175F"/>
    <w:rsid w:val="00EF1CB6"/>
    <w:rsid w:val="00EF2F0C"/>
    <w:rsid w:val="00EF3C6E"/>
    <w:rsid w:val="00EF4330"/>
    <w:rsid w:val="00EF4A3A"/>
    <w:rsid w:val="00EF5974"/>
    <w:rsid w:val="00EF6ED5"/>
    <w:rsid w:val="00EF7332"/>
    <w:rsid w:val="00F0042E"/>
    <w:rsid w:val="00F034D5"/>
    <w:rsid w:val="00F05A84"/>
    <w:rsid w:val="00F103E5"/>
    <w:rsid w:val="00F107E2"/>
    <w:rsid w:val="00F16201"/>
    <w:rsid w:val="00F167F1"/>
    <w:rsid w:val="00F23D3E"/>
    <w:rsid w:val="00F25050"/>
    <w:rsid w:val="00F26EDD"/>
    <w:rsid w:val="00F3518D"/>
    <w:rsid w:val="00F475A1"/>
    <w:rsid w:val="00F53BC0"/>
    <w:rsid w:val="00F53C8F"/>
    <w:rsid w:val="00F53D04"/>
    <w:rsid w:val="00F57282"/>
    <w:rsid w:val="00F61DCE"/>
    <w:rsid w:val="00F63B74"/>
    <w:rsid w:val="00F65648"/>
    <w:rsid w:val="00F7002D"/>
    <w:rsid w:val="00F71881"/>
    <w:rsid w:val="00F7213E"/>
    <w:rsid w:val="00F73C2E"/>
    <w:rsid w:val="00F7717B"/>
    <w:rsid w:val="00F82733"/>
    <w:rsid w:val="00F84884"/>
    <w:rsid w:val="00FA2DA5"/>
    <w:rsid w:val="00FA4290"/>
    <w:rsid w:val="00FA4BCA"/>
    <w:rsid w:val="00FA7AC5"/>
    <w:rsid w:val="00FA7BAD"/>
    <w:rsid w:val="00FB241F"/>
    <w:rsid w:val="00FB2666"/>
    <w:rsid w:val="00FB32B4"/>
    <w:rsid w:val="00FB3B0A"/>
    <w:rsid w:val="00FB41D0"/>
    <w:rsid w:val="00FB70BD"/>
    <w:rsid w:val="00FC3E39"/>
    <w:rsid w:val="00FC58EC"/>
    <w:rsid w:val="00FC6E76"/>
    <w:rsid w:val="00FD03F2"/>
    <w:rsid w:val="00FD04C1"/>
    <w:rsid w:val="00FD061A"/>
    <w:rsid w:val="00FD0870"/>
    <w:rsid w:val="00FD16FF"/>
    <w:rsid w:val="00FD2C9F"/>
    <w:rsid w:val="00FD3350"/>
    <w:rsid w:val="00FE0BBA"/>
    <w:rsid w:val="00FE5744"/>
    <w:rsid w:val="00FE74D9"/>
    <w:rsid w:val="00FF2288"/>
    <w:rsid w:val="00FF31A0"/>
    <w:rsid w:val="00FF5C75"/>
    <w:rsid w:val="012365CD"/>
    <w:rsid w:val="051B326D"/>
    <w:rsid w:val="056B4E59"/>
    <w:rsid w:val="05CE03AB"/>
    <w:rsid w:val="06B02E64"/>
    <w:rsid w:val="06EA4A74"/>
    <w:rsid w:val="09590C0A"/>
    <w:rsid w:val="0A1479CB"/>
    <w:rsid w:val="0B642CE9"/>
    <w:rsid w:val="0D4A566D"/>
    <w:rsid w:val="0E4829DD"/>
    <w:rsid w:val="0E936FA8"/>
    <w:rsid w:val="0FB63AEA"/>
    <w:rsid w:val="0FB70C93"/>
    <w:rsid w:val="106541BD"/>
    <w:rsid w:val="1510431F"/>
    <w:rsid w:val="155B5497"/>
    <w:rsid w:val="16007AB2"/>
    <w:rsid w:val="17EC302A"/>
    <w:rsid w:val="19466C03"/>
    <w:rsid w:val="1A0836EB"/>
    <w:rsid w:val="1A135FD6"/>
    <w:rsid w:val="1A5535EA"/>
    <w:rsid w:val="1B0359E6"/>
    <w:rsid w:val="1CF126C5"/>
    <w:rsid w:val="20A53730"/>
    <w:rsid w:val="219B65A2"/>
    <w:rsid w:val="21D95D98"/>
    <w:rsid w:val="22871665"/>
    <w:rsid w:val="231E77CA"/>
    <w:rsid w:val="27B852B4"/>
    <w:rsid w:val="29434253"/>
    <w:rsid w:val="29D74371"/>
    <w:rsid w:val="2B6C37C8"/>
    <w:rsid w:val="2C0B7E2B"/>
    <w:rsid w:val="2CD8472F"/>
    <w:rsid w:val="30E732A7"/>
    <w:rsid w:val="31B97BA0"/>
    <w:rsid w:val="34103853"/>
    <w:rsid w:val="34701865"/>
    <w:rsid w:val="368261F5"/>
    <w:rsid w:val="38974692"/>
    <w:rsid w:val="398B0E78"/>
    <w:rsid w:val="3AAD3C39"/>
    <w:rsid w:val="3BF6030C"/>
    <w:rsid w:val="3C9B18ED"/>
    <w:rsid w:val="3D4C49BC"/>
    <w:rsid w:val="3D8A5D30"/>
    <w:rsid w:val="3E8F698B"/>
    <w:rsid w:val="3F5A676C"/>
    <w:rsid w:val="3FE66DE6"/>
    <w:rsid w:val="412367D5"/>
    <w:rsid w:val="43073010"/>
    <w:rsid w:val="45574013"/>
    <w:rsid w:val="4C2A49CD"/>
    <w:rsid w:val="4CE80999"/>
    <w:rsid w:val="50EB39A7"/>
    <w:rsid w:val="56707EE0"/>
    <w:rsid w:val="58816255"/>
    <w:rsid w:val="59F77DFF"/>
    <w:rsid w:val="5AAA7B92"/>
    <w:rsid w:val="5F0225D2"/>
    <w:rsid w:val="5FFB0F02"/>
    <w:rsid w:val="61DB091C"/>
    <w:rsid w:val="62847EEE"/>
    <w:rsid w:val="64247A0F"/>
    <w:rsid w:val="64422290"/>
    <w:rsid w:val="6513202C"/>
    <w:rsid w:val="69597FCF"/>
    <w:rsid w:val="6BBA5B0F"/>
    <w:rsid w:val="6BC85664"/>
    <w:rsid w:val="6CBF2379"/>
    <w:rsid w:val="6D65661E"/>
    <w:rsid w:val="6D7E290C"/>
    <w:rsid w:val="6E7A566C"/>
    <w:rsid w:val="720023AB"/>
    <w:rsid w:val="7238240A"/>
    <w:rsid w:val="72A47267"/>
    <w:rsid w:val="73247AB1"/>
    <w:rsid w:val="73944594"/>
    <w:rsid w:val="75A924F0"/>
    <w:rsid w:val="7BD335D6"/>
    <w:rsid w:val="7C036DFE"/>
    <w:rsid w:val="7C3F2307"/>
    <w:rsid w:val="7D3C3789"/>
    <w:rsid w:val="7F51799F"/>
    <w:rsid w:val="7F9E1A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autoRedefine/>
    <w:unhideWhenUsed/>
    <w:qFormat/>
    <w:uiPriority w:val="99"/>
    <w:rPr>
      <w:kern w:val="0"/>
      <w:sz w:val="18"/>
      <w:szCs w:val="18"/>
    </w:rPr>
  </w:style>
  <w:style w:type="paragraph" w:styleId="3">
    <w:name w:val="footer"/>
    <w:basedOn w:val="1"/>
    <w:link w:val="11"/>
    <w:autoRedefine/>
    <w:unhideWhenUsed/>
    <w:qFormat/>
    <w:uiPriority w:val="99"/>
    <w:pPr>
      <w:tabs>
        <w:tab w:val="center" w:pos="4153"/>
        <w:tab w:val="right" w:pos="8306"/>
      </w:tabs>
      <w:snapToGrid w:val="0"/>
      <w:jc w:val="left"/>
    </w:pPr>
    <w:rPr>
      <w:kern w:val="0"/>
      <w:sz w:val="18"/>
      <w:szCs w:val="18"/>
    </w:rPr>
  </w:style>
  <w:style w:type="paragraph" w:styleId="4">
    <w:name w:val="header"/>
    <w:basedOn w:val="1"/>
    <w:link w:val="12"/>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5">
    <w:name w:val="Normal (Web)"/>
    <w:basedOn w:val="1"/>
    <w:autoRedefine/>
    <w:unhideWhenUsed/>
    <w:qFormat/>
    <w:uiPriority w:val="99"/>
    <w:pPr>
      <w:widowControl/>
      <w:spacing w:before="100" w:beforeAutospacing="1" w:after="240"/>
      <w:jc w:val="left"/>
    </w:pPr>
    <w:rPr>
      <w:rFonts w:ascii="宋体" w:hAnsi="宋体" w:cs="宋体"/>
      <w:kern w:val="0"/>
      <w:sz w:val="24"/>
      <w:szCs w:val="24"/>
    </w:rPr>
  </w:style>
  <w:style w:type="table" w:styleId="7">
    <w:name w:val="Table Grid"/>
    <w:basedOn w:val="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22"/>
    <w:rPr>
      <w:b/>
      <w:bCs/>
    </w:rPr>
  </w:style>
  <w:style w:type="character" w:customStyle="1" w:styleId="10">
    <w:name w:val="批注框文本 字符"/>
    <w:link w:val="2"/>
    <w:autoRedefine/>
    <w:semiHidden/>
    <w:qFormat/>
    <w:locked/>
    <w:uiPriority w:val="99"/>
    <w:rPr>
      <w:rFonts w:cs="Times New Roman"/>
      <w:sz w:val="18"/>
      <w:szCs w:val="18"/>
    </w:rPr>
  </w:style>
  <w:style w:type="character" w:customStyle="1" w:styleId="11">
    <w:name w:val="页脚 字符"/>
    <w:link w:val="3"/>
    <w:autoRedefine/>
    <w:qFormat/>
    <w:locked/>
    <w:uiPriority w:val="99"/>
    <w:rPr>
      <w:rFonts w:cs="Times New Roman"/>
      <w:sz w:val="18"/>
      <w:szCs w:val="18"/>
    </w:rPr>
  </w:style>
  <w:style w:type="character" w:customStyle="1" w:styleId="12">
    <w:name w:val="页眉 字符"/>
    <w:link w:val="4"/>
    <w:autoRedefine/>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14</Pages>
  <Words>4783</Words>
  <Characters>5004</Characters>
  <Lines>36</Lines>
  <Paragraphs>10</Paragraphs>
  <TotalTime>17</TotalTime>
  <ScaleCrop>false</ScaleCrop>
  <LinksUpToDate>false</LinksUpToDate>
  <CharactersWithSpaces>5014</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2025-03-28T08:34:00Z</dcterms:created>
  <dc:creator>HP</dc:creator>
  <cp:lastModifiedBy>贾楠</cp:lastModifiedBy>
  <cp:lastPrinted>2025-04-03T00:25:00Z</cp:lastPrinted>
  <dcterms:modified xsi:type="dcterms:W3CDTF">2025-08-28T03:20:45Z</dcterms:modified>
  <dc:title>辽宁中医药大学及所属附属医院2018年</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DA286342524E46A4A5C37D67595E1127_13</vt:lpwstr>
  </property>
  <property fmtid="{D5CDD505-2E9C-101B-9397-08002B2CF9AE}" pid="4" name="KSOTemplateDocerSaveRecord">
    <vt:lpwstr>eyJoZGlkIjoiNDU2OTZmY2JlOWFiOWFiYmE4YzhmMjAyNDY2YzUyODEiLCJ1c2VySWQiOiIyNzgwNDQ2NTEifQ==</vt:lpwstr>
  </property>
</Properties>
</file>