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627"/>
        <w:gridCol w:w="1404"/>
        <w:gridCol w:w="1896"/>
        <w:gridCol w:w="2113"/>
        <w:gridCol w:w="696"/>
        <w:gridCol w:w="777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06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晋江市交通运输局公开招聘编外人员岗位表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考试方式及折算比例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  <w:t>市交通运输事业发展中心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综合协调岗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18周岁—35周岁(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lang w:val="en-US" w:eastAsia="zh-CN" w:bidi="ar"/>
              </w:rPr>
              <w:t>1989年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月-2007年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协助做好文件整理、材料汇总等工作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</w:docVars>
  <w:rsids>
    <w:rsidRoot w:val="2CDF45EA"/>
    <w:rsid w:val="2CD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character" w:customStyle="1" w:styleId="5">
    <w:name w:val="font91"/>
    <w:basedOn w:val="4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2025-08-11T08:01:00Z</dcterms:created>
  <dc:creator>YuanMH</dc:creator>
  <cp:lastModifiedBy>YuanMH</cp:lastModifiedBy>
  <dcterms:modified xsi:type="dcterms:W3CDTF">2025-08-11T08:01:19Z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EEF7833BCB754A5AB0D681364EA2F98C_11</vt:lpwstr>
  </property>
</Properties>
</file>