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年四川省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数字经济研究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中心公开考核招聘工作人员岗位和条件要求一览表</w:t>
      </w:r>
    </w:p>
    <w:tbl>
      <w:tblPr>
        <w:tblStyle w:val="7"/>
        <w:tblW w:w="5021" w:type="pct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080"/>
        <w:gridCol w:w="450"/>
        <w:gridCol w:w="600"/>
        <w:gridCol w:w="1065"/>
        <w:gridCol w:w="1335"/>
        <w:gridCol w:w="2130"/>
        <w:gridCol w:w="570"/>
        <w:gridCol w:w="56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12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招聘岗位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招聘人数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范围</w:t>
            </w:r>
          </w:p>
        </w:tc>
        <w:tc>
          <w:tcPr>
            <w:tcW w:w="10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其他条件要求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年龄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或职称要求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专业条件要求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比例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新魏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其  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数字经济研究中心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数字经济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综合研究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  <w:t>全国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</w:rPr>
              <w:t>周岁及以下（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highlight w:val="none"/>
              </w:rPr>
              <w:t>日及以后出生）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满足以下任一条件：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1.具有博士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研究生学历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2.具有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副高级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专业技术职务任职资格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1.博士研究生：博士阶段就读专业为电子信息、通信工程、计算机、软件工程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，本科、硕士阶段专业不限；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副高级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专业技术职务任职资格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：工程师序列，专业为电子信息、通信工程、计算机、软件工程专业。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博士研究生：须在2025年12月3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日前取得毕业证和学位证，在核心期刊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以第一作者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发表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本专业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论文不少于2篇，具备良好的沟通协调能力和写作水平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副高级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专业技术职务任职资格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人员：须在公告发布之日前取得相关专业技术职务任职资格，具有5年以上数字领域工作经验，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具备较高研究能力、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写作水平、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组织协调能力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b w:val="0"/>
                <w:bCs w:val="0"/>
                <w:sz w:val="3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.通过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计算机技术与软件专业技术资格（水平）考试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取得高级工程师证书的人员，须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作为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第一作者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或者通讯作者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专业刊物上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公开发表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本专业学术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论文1篇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以上，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或独著（合著）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正式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出版本专业著作1部，本人撰写2万字以上；且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编写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1项以上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国家、行业标准、工法或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主持编写1项以上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地方标准、工法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，或获得1件以上与本专业技术相关的发明专利（排名前3，以发明专利证书为准）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TRkMWQ3MGNlYjhjMDc2YzRjZjQ1ZGE4MWE2MDYifQ=="/>
  </w:docVars>
  <w:rsids>
    <w:rsidRoot w:val="43160572"/>
    <w:rsid w:val="43160572"/>
    <w:rsid w:val="59E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602</Characters>
  <Lines>0</Lines>
  <Paragraphs>0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2025-08-01T03:04:00Z</dcterms:created>
  <dc:creator>杨温暖</dc:creator>
  <cp:lastModifiedBy>杨温暖</cp:lastModifiedBy>
  <cp:lastPrinted>2025-08-01T03:14:28Z</cp:lastPrinted>
  <dcterms:modified xsi:type="dcterms:W3CDTF">2025-08-01T03:14:35Z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54603F1CBD464E139D77DD1F9079B919_11</vt:lpwstr>
  </property>
</Properties>
</file>