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2CE53">
      <w:pPr>
        <w:keepNext w:val="0"/>
        <w:keepLines w:val="0"/>
        <w:pageBreakBefore w:val="0"/>
        <w:wordWrap/>
        <w:overflowPunct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6"/>
          <w:lang w:val="en-US" w:eastAsia="zh-CN"/>
        </w:rPr>
        <w:t>济南金投控股集团有限公司招聘计划表</w:t>
      </w:r>
    </w:p>
    <w:tbl>
      <w:tblPr>
        <w:tblStyle w:val="5"/>
        <w:tblpPr w:leftFromText="180" w:rightFromText="180" w:vertAnchor="text" w:horzAnchor="page" w:tblpX="736" w:tblpY="588"/>
        <w:tblOverlap w:val="never"/>
        <w:tblW w:w="15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065"/>
        <w:gridCol w:w="765"/>
        <w:gridCol w:w="930"/>
        <w:gridCol w:w="5459"/>
        <w:gridCol w:w="5401"/>
        <w:gridCol w:w="840"/>
      </w:tblGrid>
      <w:tr w14:paraId="22293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05" w:type="dxa"/>
            <w:noWrap w:val="0"/>
            <w:vAlign w:val="center"/>
          </w:tcPr>
          <w:p w14:paraId="57A39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65" w:type="dxa"/>
            <w:noWrap w:val="0"/>
            <w:vAlign w:val="center"/>
          </w:tcPr>
          <w:p w14:paraId="03394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 w14:paraId="46C9A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765" w:type="dxa"/>
            <w:noWrap w:val="0"/>
            <w:vAlign w:val="center"/>
          </w:tcPr>
          <w:p w14:paraId="55C59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岗位职级</w:t>
            </w:r>
          </w:p>
        </w:tc>
        <w:tc>
          <w:tcPr>
            <w:tcW w:w="930" w:type="dxa"/>
            <w:noWrap w:val="0"/>
            <w:vAlign w:val="center"/>
          </w:tcPr>
          <w:p w14:paraId="27D06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5459" w:type="dxa"/>
            <w:noWrap w:val="0"/>
            <w:vAlign w:val="center"/>
          </w:tcPr>
          <w:p w14:paraId="3DFC2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401" w:type="dxa"/>
            <w:noWrap w:val="0"/>
            <w:vAlign w:val="center"/>
          </w:tcPr>
          <w:p w14:paraId="5E70A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840" w:type="dxa"/>
            <w:noWrap w:val="0"/>
            <w:vAlign w:val="center"/>
          </w:tcPr>
          <w:p w14:paraId="197C2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3427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noWrap w:val="0"/>
            <w:vAlign w:val="center"/>
          </w:tcPr>
          <w:p w14:paraId="7095C7A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济南金投控股集团有限公司</w:t>
            </w:r>
          </w:p>
        </w:tc>
        <w:tc>
          <w:tcPr>
            <w:tcW w:w="1065" w:type="dxa"/>
            <w:noWrap w:val="0"/>
            <w:vAlign w:val="center"/>
          </w:tcPr>
          <w:p w14:paraId="4DA2215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风控合规岗</w:t>
            </w:r>
          </w:p>
        </w:tc>
        <w:tc>
          <w:tcPr>
            <w:tcW w:w="765" w:type="dxa"/>
            <w:noWrap w:val="0"/>
            <w:vAlign w:val="center"/>
          </w:tcPr>
          <w:p w14:paraId="1B2703A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济南金控副部长级</w:t>
            </w:r>
          </w:p>
        </w:tc>
        <w:tc>
          <w:tcPr>
            <w:tcW w:w="930" w:type="dxa"/>
            <w:noWrap w:val="0"/>
            <w:vAlign w:val="center"/>
          </w:tcPr>
          <w:p w14:paraId="2697A82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459" w:type="dxa"/>
            <w:noWrap w:val="0"/>
            <w:vAlign w:val="center"/>
          </w:tcPr>
          <w:p w14:paraId="009B118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line="320" w:lineRule="exac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1.负责建立并完善公司风险评估体系，制定公司各项风险管理制度及相关管理工作。</w:t>
            </w:r>
          </w:p>
          <w:p w14:paraId="5122E65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line="320" w:lineRule="exac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2.负责公司项目复核审批、放款审批等方面工作。</w:t>
            </w:r>
          </w:p>
          <w:p w14:paraId="2CFF0E4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line="320" w:lineRule="exac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3.负责公司项目评审会的组织安排。</w:t>
            </w:r>
          </w:p>
          <w:p w14:paraId="636477E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line="320" w:lineRule="exac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4.参与公司业务项目的前期评估和决策过程，负责公司项目投后管理、业务风险提示预警及处置等方面工作。                                                        5.负责制定合理的风险管理策略和风险应对方案。</w:t>
            </w:r>
          </w:p>
          <w:p w14:paraId="23CA34A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line="320" w:lineRule="exac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6.负责公司各项风险管理培训事宜。</w:t>
            </w:r>
          </w:p>
        </w:tc>
        <w:tc>
          <w:tcPr>
            <w:tcW w:w="5401" w:type="dxa"/>
            <w:noWrap w:val="0"/>
            <w:vAlign w:val="center"/>
          </w:tcPr>
          <w:p w14:paraId="5599034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line="320" w:lineRule="exac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1.40周岁（含）以下，大学本科及以上学历，学士及以上学位，经济、金融、财务、法学、管理等相关专业。</w:t>
            </w:r>
          </w:p>
          <w:p w14:paraId="6E8B452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line="320" w:lineRule="exac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2.具有8年以上银行、保理、证券、基金等机构风控、审批、法务工作经验，且有上述单位3年以上独立管理团队经验。</w:t>
            </w:r>
          </w:p>
          <w:p w14:paraId="5863DAA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line="320" w:lineRule="exac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3.熟练掌握金融、财务、风控、法律等基础业务知识，具备良好的学习能力，以及风险识别分析、风险处置、团队协作和沟通协调等方面能力。</w:t>
            </w:r>
          </w:p>
          <w:p w14:paraId="26D05B5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line="320" w:lineRule="exac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4.具有金融方面资质证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书以及法律执业资格证书、CPA证书者优先考虑。</w:t>
            </w:r>
          </w:p>
          <w:p w14:paraId="523B470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line="320" w:lineRule="exact"/>
              <w:ind w:left="0" w:leftChars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5.综合条件较好或岗位匹配度较高的，可适当放宽年龄、专业等要求。</w:t>
            </w:r>
          </w:p>
        </w:tc>
        <w:tc>
          <w:tcPr>
            <w:tcW w:w="840" w:type="dxa"/>
            <w:noWrap w:val="0"/>
            <w:vAlign w:val="top"/>
          </w:tcPr>
          <w:p w14:paraId="7D9CD4F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27062A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86828"/>
    <w:rsid w:val="1ED86828"/>
    <w:rsid w:val="63C0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spacing w:after="0"/>
      <w:ind w:left="0" w:leftChars="0" w:firstLine="420" w:firstLineChars="192"/>
    </w:pPr>
    <w:rPr>
      <w:rFonts w:ascii="仿宋_GB2312"/>
      <w:sz w:val="28"/>
      <w:szCs w:val="2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479</Characters>
  <Lines>0</Lines>
  <Paragraphs>0</Paragraphs>
  <TotalTime>0</TotalTime>
  <ScaleCrop>false</ScaleCrop>
  <LinksUpToDate>false</LinksUpToDate>
  <CharactersWithSpaces>535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2025-07-10T05:53:00Z</dcterms:created>
  <dc:creator>树懒</dc:creator>
  <cp:lastModifiedBy>青山不改绿水长流</cp:lastModifiedBy>
  <dcterms:modified xsi:type="dcterms:W3CDTF">2025-07-16T04:18:34Z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72D56907FB644F65B5ACA45B79F295F5_11</vt:lpwstr>
  </property>
  <property fmtid="{D5CDD505-2E9C-101B-9397-08002B2CF9AE}" pid="4" name="KSOTemplateDocerSaveRecord">
    <vt:lpwstr>eyJoZGlkIjoiMWRmNTU1NWNhYThkYmU3YWQ5ODc1NjE1YWRjYmJkNmUiLCJ1c2VySWQiOiIxMTIyODYyMjI2In0=</vt:lpwstr>
  </property>
</Properties>
</file>