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2176">
      <w:pPr>
        <w:jc w:val="left"/>
        <w:rPr>
          <w:rFonts w:hint="eastAsia" w:ascii="黑体" w:hAnsi="黑体" w:eastAsia="黑体" w:cs="黑体"/>
          <w:b w:val="0"/>
          <w:spacing w:val="-17"/>
          <w:sz w:val="28"/>
          <w:szCs w:val="28"/>
          <w:lang w:val="en-US" w:eastAsia="zh-CN"/>
        </w:rPr>
      </w:pPr>
      <w:r>
        <w:rPr>
          <w:rFonts w:hint="eastAsia" w:ascii="黑体" w:hAnsi="黑体" w:eastAsia="黑体" w:cs="黑体"/>
          <w:b w:val="0"/>
          <w:spacing w:val="-17"/>
          <w:sz w:val="28"/>
          <w:szCs w:val="28"/>
          <w:lang w:eastAsia="zh-CN"/>
        </w:rPr>
        <w:t>附件</w:t>
      </w:r>
      <w:r>
        <w:rPr>
          <w:rFonts w:hint="eastAsia" w:ascii="黑体" w:hAnsi="黑体" w:eastAsia="黑体" w:cs="黑体"/>
          <w:b w:val="0"/>
          <w:spacing w:val="-17"/>
          <w:sz w:val="28"/>
          <w:szCs w:val="28"/>
          <w:lang w:val="en-US" w:eastAsia="zh-CN"/>
        </w:rPr>
        <w:t>2：</w:t>
      </w:r>
    </w:p>
    <w:p w14:paraId="5A922841">
      <w:pPr>
        <w:jc w:val="center"/>
        <w:rPr>
          <w:rFonts w:hint="eastAsia" w:ascii="方正小标宋简体" w:hAnsi="方正小标宋简体" w:eastAsia="方正小标宋简体" w:cs="方正小标宋简体"/>
          <w:b w:val="0"/>
          <w:spacing w:val="0"/>
          <w:sz w:val="36"/>
          <w:szCs w:val="36"/>
          <w:lang w:val="en-US" w:eastAsia="zh-CN"/>
        </w:rPr>
      </w:pPr>
      <w:bookmarkStart w:id="0" w:name="_GoBack"/>
      <w:r>
        <w:rPr>
          <w:rFonts w:hint="eastAsia" w:ascii="方正小标宋简体" w:hAnsi="方正小标宋简体" w:eastAsia="方正小标宋简体" w:cs="方正小标宋简体"/>
          <w:b w:val="0"/>
          <w:spacing w:val="0"/>
          <w:sz w:val="32"/>
          <w:szCs w:val="32"/>
        </w:rPr>
        <w:t>202</w:t>
      </w:r>
      <w:r>
        <w:rPr>
          <w:rFonts w:hint="eastAsia" w:ascii="方正小标宋简体" w:hAnsi="方正小标宋简体" w:eastAsia="方正小标宋简体" w:cs="方正小标宋简体"/>
          <w:b w:val="0"/>
          <w:spacing w:val="0"/>
          <w:sz w:val="32"/>
          <w:szCs w:val="32"/>
          <w:lang w:val="en-US" w:eastAsia="zh-CN"/>
        </w:rPr>
        <w:t>5</w:t>
      </w:r>
      <w:r>
        <w:rPr>
          <w:rFonts w:hint="eastAsia" w:ascii="方正小标宋简体" w:hAnsi="方正小标宋简体" w:eastAsia="方正小标宋简体" w:cs="方正小标宋简体"/>
          <w:b w:val="0"/>
          <w:spacing w:val="0"/>
          <w:sz w:val="32"/>
          <w:szCs w:val="32"/>
        </w:rPr>
        <w:t>年</w:t>
      </w:r>
      <w:r>
        <w:rPr>
          <w:rFonts w:hint="eastAsia" w:ascii="方正小标宋简体" w:hAnsi="方正小标宋简体" w:eastAsia="方正小标宋简体" w:cs="方正小标宋简体"/>
          <w:b w:val="0"/>
          <w:spacing w:val="0"/>
          <w:sz w:val="32"/>
          <w:szCs w:val="32"/>
          <w:lang w:val="en-US" w:eastAsia="zh-CN"/>
        </w:rPr>
        <w:t>奈曼旗第二批</w:t>
      </w:r>
      <w:r>
        <w:rPr>
          <w:rFonts w:hint="eastAsia" w:ascii="方正小标宋简体" w:hAnsi="方正小标宋简体" w:eastAsia="方正小标宋简体" w:cs="方正小标宋简体"/>
          <w:b w:val="0"/>
          <w:spacing w:val="0"/>
          <w:sz w:val="32"/>
          <w:szCs w:val="32"/>
          <w:lang w:eastAsia="zh-CN"/>
        </w:rPr>
        <w:t>事业单位人才</w:t>
      </w:r>
      <w:r>
        <w:rPr>
          <w:rFonts w:hint="eastAsia" w:ascii="方正小标宋简体" w:hAnsi="方正小标宋简体" w:eastAsia="方正小标宋简体" w:cs="方正小标宋简体"/>
          <w:b w:val="0"/>
          <w:spacing w:val="0"/>
          <w:sz w:val="32"/>
          <w:szCs w:val="32"/>
        </w:rPr>
        <w:t>引进人才评价表</w:t>
      </w:r>
    </w:p>
    <w:bookmarkEnd w:id="0"/>
    <w:p w14:paraId="411E0D76">
      <w:pPr>
        <w:jc w:val="both"/>
        <w:rPr>
          <w:rFonts w:ascii="微软雅黑" w:hAnsi="黑体" w:eastAsia="微软雅黑"/>
          <w:b w:val="0"/>
          <w:sz w:val="36"/>
          <w:szCs w:val="36"/>
        </w:rPr>
      </w:pPr>
      <w:r>
        <w:rPr>
          <w:rFonts w:hint="eastAsia" w:ascii="微软雅黑" w:hAnsi="黑体" w:eastAsia="微软雅黑"/>
          <w:b w:val="0"/>
          <w:sz w:val="24"/>
          <w:szCs w:val="24"/>
          <w:lang w:eastAsia="zh-CN"/>
        </w:rPr>
        <w:t>报考单位：</w:t>
      </w:r>
      <w:r>
        <w:rPr>
          <w:rFonts w:hint="eastAsia" w:ascii="微软雅黑" w:hAnsi="黑体" w:eastAsia="微软雅黑"/>
          <w:b w:val="0"/>
          <w:sz w:val="24"/>
          <w:szCs w:val="24"/>
          <w:u w:val="single"/>
          <w:lang w:val="en-US" w:eastAsia="zh-CN"/>
        </w:rPr>
        <w:t xml:space="preserve">               </w:t>
      </w:r>
      <w:r>
        <w:rPr>
          <w:rFonts w:hint="eastAsia" w:ascii="微软雅黑" w:hAnsi="黑体" w:eastAsia="微软雅黑"/>
          <w:b w:val="0"/>
          <w:sz w:val="24"/>
          <w:szCs w:val="24"/>
          <w:u w:val="none"/>
          <w:lang w:val="en-US" w:eastAsia="zh-CN"/>
        </w:rPr>
        <w:t xml:space="preserve"> 报考岗位：</w:t>
      </w:r>
      <w:r>
        <w:rPr>
          <w:rFonts w:hint="eastAsia" w:ascii="微软雅黑" w:hAnsi="黑体" w:eastAsia="微软雅黑"/>
          <w:b w:val="0"/>
          <w:sz w:val="24"/>
          <w:szCs w:val="24"/>
          <w:u w:val="single"/>
          <w:lang w:val="en-US" w:eastAsia="zh-CN"/>
        </w:rPr>
        <w:t xml:space="preserve">              </w:t>
      </w:r>
      <w:r>
        <w:rPr>
          <w:rFonts w:hint="eastAsia" w:ascii="微软雅黑" w:hAnsi="黑体" w:eastAsia="微软雅黑"/>
          <w:b w:val="0"/>
          <w:sz w:val="24"/>
          <w:szCs w:val="24"/>
          <w:u w:val="none"/>
          <w:lang w:val="en-US" w:eastAsia="zh-CN"/>
        </w:rPr>
        <w:t xml:space="preserve">   </w:t>
      </w:r>
      <w:r>
        <w:rPr>
          <w:rFonts w:hint="eastAsia" w:ascii="微软雅黑" w:hAnsi="黑体" w:eastAsia="微软雅黑"/>
          <w:b w:val="0"/>
          <w:sz w:val="24"/>
          <w:szCs w:val="24"/>
          <w:lang w:val="en-US" w:eastAsia="zh-CN"/>
        </w:rPr>
        <w:t>自评得分：</w:t>
      </w:r>
      <w:r>
        <w:rPr>
          <w:rFonts w:hint="eastAsia" w:ascii="微软雅黑" w:hAnsi="黑体" w:eastAsia="微软雅黑"/>
          <w:b w:val="0"/>
          <w:sz w:val="24"/>
          <w:szCs w:val="24"/>
          <w:u w:val="single"/>
          <w:lang w:val="en-US" w:eastAsia="zh-CN"/>
        </w:rPr>
        <w:t xml:space="preserve">          </w:t>
      </w:r>
      <w:r>
        <w:rPr>
          <w:rFonts w:hint="eastAsia" w:ascii="微软雅黑" w:hAnsi="黑体" w:eastAsia="微软雅黑"/>
          <w:b w:val="0"/>
          <w:sz w:val="24"/>
          <w:szCs w:val="24"/>
          <w:u w:val="none"/>
          <w:lang w:val="en-US" w:eastAsia="zh-CN"/>
        </w:rPr>
        <w:t xml:space="preserve">  </w:t>
      </w:r>
      <w:r>
        <w:rPr>
          <w:rFonts w:hint="eastAsia" w:ascii="微软雅黑" w:hAnsi="黑体" w:eastAsia="微软雅黑"/>
          <w:b w:val="0"/>
          <w:sz w:val="24"/>
          <w:szCs w:val="24"/>
          <w:lang w:val="en-US" w:eastAsia="zh-CN"/>
        </w:rPr>
        <w:t xml:space="preserve">复核得分： </w:t>
      </w:r>
      <w:r>
        <w:rPr>
          <w:rFonts w:hint="eastAsia" w:ascii="微软雅黑" w:hAnsi="黑体" w:eastAsia="微软雅黑"/>
          <w:b w:val="0"/>
          <w:sz w:val="24"/>
          <w:szCs w:val="24"/>
          <w:u w:val="single"/>
          <w:lang w:val="en-US" w:eastAsia="zh-CN"/>
        </w:rPr>
        <w:t xml:space="preserve">           </w:t>
      </w:r>
    </w:p>
    <w:tbl>
      <w:tblPr>
        <w:tblStyle w:val="3"/>
        <w:tblW w:w="0" w:type="auto"/>
        <w:jc w:val="center"/>
        <w:tblLayout w:type="autofit"/>
        <w:tblCellMar>
          <w:top w:w="0" w:type="dxa"/>
          <w:left w:w="108" w:type="dxa"/>
          <w:bottom w:w="0" w:type="dxa"/>
          <w:right w:w="108" w:type="dxa"/>
        </w:tblCellMar>
      </w:tblPr>
      <w:tblGrid>
        <w:gridCol w:w="720"/>
        <w:gridCol w:w="789"/>
        <w:gridCol w:w="7149"/>
        <w:gridCol w:w="527"/>
        <w:gridCol w:w="734"/>
        <w:gridCol w:w="503"/>
      </w:tblGrid>
      <w:tr w14:paraId="2DF3083A">
        <w:tblPrEx>
          <w:tblCellMar>
            <w:top w:w="0" w:type="dxa"/>
            <w:left w:w="108" w:type="dxa"/>
            <w:bottom w:w="0" w:type="dxa"/>
            <w:right w:w="108" w:type="dxa"/>
          </w:tblCellMar>
        </w:tblPrEx>
        <w:trPr>
          <w:trHeight w:val="61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321003">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评价类别</w:t>
            </w:r>
          </w:p>
        </w:tc>
        <w:tc>
          <w:tcPr>
            <w:tcW w:w="0" w:type="auto"/>
            <w:tcBorders>
              <w:top w:val="single" w:color="auto" w:sz="4" w:space="0"/>
              <w:left w:val="nil"/>
              <w:bottom w:val="single" w:color="auto" w:sz="4" w:space="0"/>
              <w:right w:val="single" w:color="auto" w:sz="4" w:space="0"/>
            </w:tcBorders>
            <w:shd w:val="clear" w:color="auto" w:fill="auto"/>
            <w:vAlign w:val="center"/>
          </w:tcPr>
          <w:p w14:paraId="171056A0">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评价</w:t>
            </w:r>
          </w:p>
          <w:p w14:paraId="501C5C93">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项目</w:t>
            </w:r>
          </w:p>
        </w:tc>
        <w:tc>
          <w:tcPr>
            <w:tcW w:w="7149" w:type="dxa"/>
            <w:tcBorders>
              <w:top w:val="single" w:color="auto" w:sz="4" w:space="0"/>
              <w:left w:val="nil"/>
              <w:bottom w:val="single" w:color="auto" w:sz="4" w:space="0"/>
              <w:right w:val="single" w:color="auto" w:sz="4" w:space="0"/>
            </w:tcBorders>
            <w:shd w:val="clear" w:color="auto" w:fill="auto"/>
            <w:vAlign w:val="center"/>
          </w:tcPr>
          <w:p w14:paraId="2DE60AD3">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赋分标准</w:t>
            </w:r>
          </w:p>
        </w:tc>
        <w:tc>
          <w:tcPr>
            <w:tcW w:w="527" w:type="dxa"/>
            <w:tcBorders>
              <w:top w:val="single" w:color="auto" w:sz="4" w:space="0"/>
              <w:left w:val="nil"/>
              <w:bottom w:val="single" w:color="auto" w:sz="4" w:space="0"/>
              <w:right w:val="single" w:color="auto" w:sz="4" w:space="0"/>
            </w:tcBorders>
            <w:shd w:val="clear" w:color="auto" w:fill="auto"/>
            <w:vAlign w:val="center"/>
          </w:tcPr>
          <w:p w14:paraId="26B7737E">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赋分</w:t>
            </w:r>
          </w:p>
          <w:p w14:paraId="6D113F3E">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总分</w:t>
            </w:r>
          </w:p>
        </w:tc>
        <w:tc>
          <w:tcPr>
            <w:tcW w:w="0" w:type="auto"/>
            <w:tcBorders>
              <w:top w:val="single" w:color="auto" w:sz="4" w:space="0"/>
              <w:left w:val="nil"/>
              <w:bottom w:val="single" w:color="auto" w:sz="4" w:space="0"/>
              <w:right w:val="single" w:color="auto" w:sz="4" w:space="0"/>
            </w:tcBorders>
            <w:shd w:val="clear" w:color="auto" w:fill="auto"/>
            <w:vAlign w:val="center"/>
          </w:tcPr>
          <w:p w14:paraId="0D97085C">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自评得分项</w:t>
            </w:r>
          </w:p>
        </w:tc>
        <w:tc>
          <w:tcPr>
            <w:tcW w:w="0" w:type="auto"/>
            <w:tcBorders>
              <w:top w:val="single" w:color="auto" w:sz="4" w:space="0"/>
              <w:left w:val="nil"/>
              <w:bottom w:val="single" w:color="auto" w:sz="4" w:space="0"/>
              <w:right w:val="single" w:color="auto" w:sz="4" w:space="0"/>
            </w:tcBorders>
            <w:shd w:val="clear" w:color="auto" w:fill="auto"/>
            <w:vAlign w:val="center"/>
          </w:tcPr>
          <w:p w14:paraId="14C3AF4A">
            <w:pPr>
              <w:widowControl/>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自评</w:t>
            </w:r>
          </w:p>
          <w:p w14:paraId="1CC297FD">
            <w:pPr>
              <w:jc w:val="center"/>
              <w:rPr>
                <w:rFonts w:ascii="黑体" w:hAnsi="黑体" w:eastAsia="黑体" w:cs="宋体"/>
                <w:b w:val="0"/>
                <w:color w:val="000000"/>
                <w:spacing w:val="0"/>
                <w:sz w:val="21"/>
                <w:szCs w:val="24"/>
              </w:rPr>
            </w:pPr>
            <w:r>
              <w:rPr>
                <w:rFonts w:hint="eastAsia" w:ascii="黑体" w:hAnsi="黑体" w:eastAsia="黑体" w:cs="宋体"/>
                <w:b w:val="0"/>
                <w:color w:val="000000"/>
                <w:spacing w:val="0"/>
                <w:sz w:val="21"/>
                <w:szCs w:val="24"/>
              </w:rPr>
              <w:t>得分</w:t>
            </w:r>
          </w:p>
        </w:tc>
      </w:tr>
      <w:tr w14:paraId="0939E33F">
        <w:tblPrEx>
          <w:tblCellMar>
            <w:top w:w="0" w:type="dxa"/>
            <w:left w:w="108" w:type="dxa"/>
            <w:bottom w:w="0" w:type="dxa"/>
            <w:right w:w="108" w:type="dxa"/>
          </w:tblCellMar>
        </w:tblPrEx>
        <w:trPr>
          <w:trHeight w:val="2869" w:hRule="atLeast"/>
          <w:jc w:val="center"/>
        </w:trPr>
        <w:tc>
          <w:tcPr>
            <w:tcW w:w="0" w:type="auto"/>
            <w:vMerge w:val="restart"/>
            <w:tcBorders>
              <w:top w:val="single" w:color="auto" w:sz="4" w:space="0"/>
              <w:left w:val="single" w:color="auto" w:sz="4" w:space="0"/>
              <w:right w:val="single" w:color="auto" w:sz="4" w:space="0"/>
            </w:tcBorders>
            <w:shd w:val="clear" w:color="auto" w:fill="auto"/>
            <w:vAlign w:val="center"/>
          </w:tcPr>
          <w:p w14:paraId="5C390DBB">
            <w:pPr>
              <w:widowControl/>
              <w:spacing w:line="240" w:lineRule="exact"/>
              <w:jc w:val="center"/>
              <w:rPr>
                <w:rFonts w:ascii="楷体_GB2312" w:eastAsia="楷体_GB2312" w:cs="宋体"/>
                <w:b w:val="0"/>
                <w:color w:val="000000"/>
                <w:spacing w:val="0"/>
                <w:sz w:val="24"/>
                <w:szCs w:val="24"/>
              </w:rPr>
            </w:pPr>
            <w:r>
              <w:rPr>
                <w:rFonts w:hint="eastAsia" w:ascii="楷体_GB2312" w:eastAsia="楷体_GB2312" w:cs="宋体"/>
                <w:b w:val="0"/>
                <w:color w:val="000000"/>
                <w:spacing w:val="0"/>
                <w:sz w:val="24"/>
                <w:szCs w:val="24"/>
              </w:rPr>
              <w:t>评价项目</w:t>
            </w:r>
          </w:p>
        </w:tc>
        <w:tc>
          <w:tcPr>
            <w:tcW w:w="0" w:type="auto"/>
            <w:tcBorders>
              <w:top w:val="single" w:color="auto" w:sz="4" w:space="0"/>
              <w:left w:val="single" w:color="auto" w:sz="4" w:space="0"/>
              <w:bottom w:val="single" w:color="000000" w:sz="4" w:space="0"/>
              <w:right w:val="single" w:color="auto" w:sz="4" w:space="0"/>
            </w:tcBorders>
            <w:shd w:val="clear" w:color="auto" w:fill="auto"/>
            <w:vAlign w:val="center"/>
          </w:tcPr>
          <w:p w14:paraId="23169F3C">
            <w:pPr>
              <w:widowControl/>
              <w:spacing w:line="240" w:lineRule="exact"/>
              <w:jc w:val="center"/>
              <w:rPr>
                <w:rFonts w:hint="eastAsia" w:ascii="楷体" w:hAnsi="楷体" w:eastAsia="楷体" w:cs="楷体"/>
                <w:b w:val="0"/>
                <w:color w:val="000000"/>
                <w:spacing w:val="0"/>
                <w:sz w:val="20"/>
                <w:szCs w:val="20"/>
              </w:rPr>
            </w:pPr>
            <w:r>
              <w:rPr>
                <w:rFonts w:hint="eastAsia" w:ascii="楷体" w:hAnsi="楷体" w:eastAsia="楷体" w:cs="楷体"/>
                <w:b w:val="0"/>
                <w:color w:val="000000"/>
                <w:spacing w:val="0"/>
                <w:sz w:val="20"/>
                <w:szCs w:val="20"/>
              </w:rPr>
              <w:t>专业层次</w:t>
            </w:r>
          </w:p>
          <w:p w14:paraId="73E70F6F">
            <w:pPr>
              <w:widowControl/>
              <w:spacing w:line="240" w:lineRule="exact"/>
              <w:jc w:val="distribute"/>
              <w:rPr>
                <w:rFonts w:hint="eastAsia" w:ascii="楷体" w:hAnsi="楷体" w:eastAsia="楷体" w:cs="楷体"/>
                <w:b w:val="0"/>
                <w:color w:val="000000"/>
                <w:spacing w:val="0"/>
                <w:sz w:val="24"/>
                <w:szCs w:val="24"/>
                <w:lang w:eastAsia="zh-CN"/>
              </w:rPr>
            </w:pPr>
          </w:p>
        </w:tc>
        <w:tc>
          <w:tcPr>
            <w:tcW w:w="7149" w:type="dxa"/>
            <w:tcBorders>
              <w:top w:val="single" w:color="auto" w:sz="4" w:space="0"/>
              <w:left w:val="single" w:color="auto" w:sz="4" w:space="0"/>
              <w:right w:val="single" w:color="auto" w:sz="4" w:space="0"/>
            </w:tcBorders>
            <w:shd w:val="clear" w:color="auto" w:fill="auto"/>
            <w:vAlign w:val="center"/>
          </w:tcPr>
          <w:p w14:paraId="7B82E5BC">
            <w:pPr>
              <w:widowControl/>
              <w:rPr>
                <w:rFonts w:hint="eastAsia" w:asciiTheme="majorEastAsia" w:hAnsiTheme="majorEastAsia" w:eastAsiaTheme="majorEastAsia" w:cstheme="majorEastAsia"/>
                <w:b w:val="0"/>
                <w:spacing w:val="-4"/>
                <w:sz w:val="16"/>
                <w:szCs w:val="16"/>
                <w:lang w:val="en-US" w:eastAsia="zh-CN"/>
              </w:rPr>
            </w:pPr>
            <w:r>
              <w:rPr>
                <w:rFonts w:hint="eastAsia" w:asciiTheme="majorEastAsia" w:hAnsiTheme="majorEastAsia" w:eastAsiaTheme="majorEastAsia" w:cstheme="majorEastAsia"/>
                <w:b w:val="0"/>
                <w:spacing w:val="-4"/>
                <w:sz w:val="16"/>
                <w:szCs w:val="16"/>
                <w:lang w:val="en-US" w:eastAsia="zh-CN"/>
              </w:rPr>
              <w:t>学历学位俱全的“一流学科”建设高校本科毕业生得40分；</w:t>
            </w:r>
          </w:p>
          <w:p w14:paraId="06E620E7">
            <w:pPr>
              <w:widowControl/>
              <w:rPr>
                <w:rFonts w:hint="eastAsia" w:asciiTheme="majorEastAsia" w:hAnsiTheme="majorEastAsia" w:eastAsiaTheme="majorEastAsia" w:cstheme="majorEastAsia"/>
                <w:b w:val="0"/>
                <w:color w:val="auto"/>
                <w:spacing w:val="-4"/>
                <w:sz w:val="16"/>
                <w:szCs w:val="16"/>
                <w:lang w:val="en-US" w:eastAsia="zh-CN"/>
              </w:rPr>
            </w:pPr>
            <w:r>
              <w:rPr>
                <w:rFonts w:hint="eastAsia" w:asciiTheme="majorEastAsia" w:hAnsiTheme="majorEastAsia" w:eastAsiaTheme="majorEastAsia" w:cstheme="majorEastAsia"/>
                <w:b w:val="0"/>
                <w:spacing w:val="-4"/>
                <w:sz w:val="16"/>
                <w:szCs w:val="16"/>
                <w:lang w:val="en-US" w:eastAsia="zh-CN"/>
              </w:rPr>
              <w:t>学历学位俱全的全日制硕士研究生（本</w:t>
            </w:r>
            <w:r>
              <w:rPr>
                <w:rFonts w:hint="eastAsia" w:asciiTheme="majorEastAsia" w:hAnsiTheme="majorEastAsia" w:eastAsiaTheme="majorEastAsia" w:cstheme="majorEastAsia"/>
                <w:b w:val="0"/>
                <w:color w:val="auto"/>
                <w:spacing w:val="-4"/>
                <w:sz w:val="16"/>
                <w:szCs w:val="16"/>
                <w:lang w:val="en-US" w:eastAsia="zh-CN"/>
              </w:rPr>
              <w:t>科阶段要求为全日制本科）得45分；</w:t>
            </w:r>
          </w:p>
          <w:p w14:paraId="09555156">
            <w:pPr>
              <w:widowControl/>
              <w:rPr>
                <w:rFonts w:hint="eastAsia" w:asciiTheme="majorEastAsia" w:hAnsiTheme="majorEastAsia" w:eastAsiaTheme="majorEastAsia" w:cstheme="majorEastAsia"/>
                <w:b w:val="0"/>
                <w:color w:val="auto"/>
                <w:spacing w:val="-4"/>
                <w:sz w:val="16"/>
                <w:szCs w:val="16"/>
                <w:lang w:val="en-US" w:eastAsia="zh-CN"/>
              </w:rPr>
            </w:pPr>
            <w:r>
              <w:rPr>
                <w:rFonts w:hint="default" w:asciiTheme="majorEastAsia" w:hAnsiTheme="majorEastAsia" w:eastAsiaTheme="majorEastAsia" w:cstheme="majorEastAsia"/>
                <w:b w:val="0"/>
                <w:color w:val="auto"/>
                <w:spacing w:val="-4"/>
                <w:sz w:val="16"/>
                <w:szCs w:val="16"/>
                <w:lang w:val="en-US" w:eastAsia="zh-CN"/>
              </w:rPr>
              <w:t>留学归国的硕士研究生毕业院校限定为</w:t>
            </w:r>
            <w:r>
              <w:rPr>
                <w:rFonts w:hint="eastAsia" w:asciiTheme="majorEastAsia" w:hAnsiTheme="majorEastAsia" w:eastAsiaTheme="majorEastAsia" w:cstheme="majorEastAsia"/>
                <w:b w:val="0"/>
                <w:color w:val="auto"/>
                <w:spacing w:val="-4"/>
                <w:sz w:val="16"/>
                <w:szCs w:val="16"/>
                <w:lang w:val="en-US" w:eastAsia="zh-CN"/>
              </w:rPr>
              <w:t>2023年、2024年度世界大学综合排名前500名院校</w:t>
            </w:r>
            <w:r>
              <w:rPr>
                <w:rFonts w:hint="default" w:asciiTheme="majorEastAsia" w:hAnsiTheme="majorEastAsia" w:eastAsiaTheme="majorEastAsia" w:cstheme="majorEastAsia"/>
                <w:b w:val="0"/>
                <w:color w:val="auto"/>
                <w:spacing w:val="-4"/>
                <w:sz w:val="16"/>
                <w:szCs w:val="16"/>
                <w:lang w:val="en-US" w:eastAsia="zh-CN"/>
              </w:rPr>
              <w:t>，高等教育阶段起始学历须为全日制本科学历（不含专升本、自考、成教等）</w:t>
            </w:r>
            <w:r>
              <w:rPr>
                <w:rFonts w:hint="eastAsia" w:asciiTheme="majorEastAsia" w:hAnsiTheme="majorEastAsia" w:eastAsiaTheme="majorEastAsia" w:cstheme="majorEastAsia"/>
                <w:b w:val="0"/>
                <w:color w:val="auto"/>
                <w:spacing w:val="-4"/>
                <w:sz w:val="16"/>
                <w:szCs w:val="16"/>
                <w:lang w:val="en-US" w:eastAsia="zh-CN"/>
              </w:rPr>
              <w:t>45分；</w:t>
            </w:r>
          </w:p>
          <w:p w14:paraId="4FCF55C7">
            <w:pPr>
              <w:widowControl/>
              <w:rPr>
                <w:rFonts w:hint="default" w:asciiTheme="majorEastAsia" w:hAnsiTheme="majorEastAsia" w:eastAsiaTheme="majorEastAsia" w:cstheme="majorEastAsia"/>
                <w:b w:val="0"/>
                <w:spacing w:val="-4"/>
                <w:sz w:val="16"/>
                <w:szCs w:val="16"/>
                <w:lang w:val="en-US" w:eastAsia="zh-CN"/>
              </w:rPr>
            </w:pPr>
            <w:r>
              <w:rPr>
                <w:rFonts w:hint="eastAsia" w:asciiTheme="majorEastAsia" w:hAnsiTheme="majorEastAsia" w:eastAsiaTheme="majorEastAsia" w:cstheme="majorEastAsia"/>
                <w:b w:val="0"/>
                <w:spacing w:val="-4"/>
                <w:sz w:val="16"/>
                <w:szCs w:val="16"/>
                <w:lang w:val="en-US" w:eastAsia="zh-CN"/>
              </w:rPr>
              <w:t>学历学位俱全的“一流大学”或“一流学科”本科毕业生得45分；</w:t>
            </w:r>
          </w:p>
          <w:p w14:paraId="399B2F6A">
            <w:pPr>
              <w:widowControl/>
              <w:rPr>
                <w:rFonts w:hint="eastAsia" w:asciiTheme="majorEastAsia" w:hAnsiTheme="majorEastAsia" w:eastAsiaTheme="majorEastAsia" w:cstheme="majorEastAsia"/>
                <w:b w:val="0"/>
                <w:spacing w:val="-4"/>
                <w:sz w:val="16"/>
                <w:szCs w:val="16"/>
                <w:lang w:val="en-US" w:eastAsia="zh-CN"/>
              </w:rPr>
            </w:pPr>
            <w:r>
              <w:rPr>
                <w:rFonts w:hint="eastAsia" w:asciiTheme="majorEastAsia" w:hAnsiTheme="majorEastAsia" w:eastAsiaTheme="majorEastAsia" w:cstheme="majorEastAsia"/>
                <w:b w:val="0"/>
                <w:spacing w:val="-4"/>
                <w:sz w:val="16"/>
                <w:szCs w:val="16"/>
                <w:lang w:val="en-US" w:eastAsia="zh-CN"/>
              </w:rPr>
              <w:t>学历学位俱全的“一流学科”建设高校研究生得50分；</w:t>
            </w:r>
          </w:p>
          <w:p w14:paraId="0483382E">
            <w:pPr>
              <w:widowControl/>
              <w:rPr>
                <w:rFonts w:hint="eastAsia" w:asciiTheme="majorEastAsia" w:hAnsiTheme="majorEastAsia" w:eastAsiaTheme="majorEastAsia" w:cstheme="majorEastAsia"/>
                <w:b w:val="0"/>
                <w:spacing w:val="-4"/>
                <w:sz w:val="16"/>
                <w:szCs w:val="16"/>
                <w:lang w:val="en-US" w:eastAsia="zh-CN"/>
              </w:rPr>
            </w:pPr>
            <w:r>
              <w:rPr>
                <w:rFonts w:hint="eastAsia" w:asciiTheme="majorEastAsia" w:hAnsiTheme="majorEastAsia" w:eastAsiaTheme="majorEastAsia" w:cstheme="majorEastAsia"/>
                <w:b w:val="0"/>
                <w:spacing w:val="-4"/>
                <w:sz w:val="16"/>
                <w:szCs w:val="16"/>
                <w:lang w:val="en-US" w:eastAsia="zh-CN"/>
              </w:rPr>
              <w:t>学历学位俱全的“一流大学”或“一流学科”研究生得60分；</w:t>
            </w:r>
          </w:p>
          <w:p w14:paraId="0CE6AEBF">
            <w:pPr>
              <w:widowControl/>
              <w:numPr>
                <w:ilvl w:val="0"/>
                <w:numId w:val="0"/>
              </w:numPr>
              <w:rPr>
                <w:rFonts w:hint="default" w:asciiTheme="majorEastAsia" w:hAnsiTheme="majorEastAsia" w:eastAsiaTheme="majorEastAsia" w:cstheme="majorEastAsia"/>
                <w:b w:val="0"/>
                <w:color w:val="000000"/>
                <w:spacing w:val="-4"/>
                <w:sz w:val="18"/>
                <w:szCs w:val="18"/>
                <w:lang w:val="en-US" w:eastAsia="zh-CN"/>
              </w:rPr>
            </w:pPr>
            <w:r>
              <w:rPr>
                <w:rFonts w:hint="eastAsia" w:asciiTheme="majorEastAsia" w:hAnsiTheme="majorEastAsia" w:eastAsiaTheme="majorEastAsia" w:cstheme="majorEastAsia"/>
                <w:b w:val="0"/>
                <w:spacing w:val="-4"/>
                <w:sz w:val="16"/>
                <w:szCs w:val="16"/>
                <w:lang w:val="en-US" w:eastAsia="zh-CN"/>
              </w:rPr>
              <w:t>取得住院医师规范化培训合格证书的本科毕业生得40分(其他取得住院医师规范化培训合格证书的在学历得分基础上加5分)。</w:t>
            </w:r>
          </w:p>
        </w:tc>
        <w:tc>
          <w:tcPr>
            <w:tcW w:w="527" w:type="dxa"/>
            <w:tcBorders>
              <w:top w:val="nil"/>
              <w:left w:val="single" w:color="auto" w:sz="4" w:space="0"/>
              <w:right w:val="single" w:color="auto" w:sz="4" w:space="0"/>
            </w:tcBorders>
            <w:shd w:val="clear" w:color="auto" w:fill="auto"/>
            <w:vAlign w:val="center"/>
          </w:tcPr>
          <w:p w14:paraId="76EF434E">
            <w:pPr>
              <w:widowControl/>
              <w:spacing w:line="240" w:lineRule="exact"/>
              <w:jc w:val="center"/>
              <w:rPr>
                <w:rFonts w:hint="default" w:cs="宋体"/>
                <w:b w:val="0"/>
                <w:color w:val="000000"/>
                <w:spacing w:val="0"/>
                <w:sz w:val="24"/>
                <w:szCs w:val="24"/>
                <w:lang w:val="en-US"/>
              </w:rPr>
            </w:pPr>
            <w:r>
              <w:rPr>
                <w:rFonts w:hint="eastAsia" w:cs="宋体"/>
                <w:b w:val="0"/>
                <w:color w:val="000000"/>
                <w:spacing w:val="0"/>
                <w:sz w:val="24"/>
                <w:szCs w:val="24"/>
                <w:lang w:val="en-US" w:eastAsia="zh-CN"/>
              </w:rPr>
              <w:t>60</w:t>
            </w:r>
          </w:p>
        </w:tc>
        <w:tc>
          <w:tcPr>
            <w:tcW w:w="0" w:type="auto"/>
            <w:tcBorders>
              <w:top w:val="nil"/>
              <w:left w:val="nil"/>
              <w:right w:val="single" w:color="auto" w:sz="4" w:space="0"/>
            </w:tcBorders>
            <w:shd w:val="clear" w:color="auto" w:fill="auto"/>
            <w:vAlign w:val="center"/>
          </w:tcPr>
          <w:p w14:paraId="26A4512F">
            <w:pPr>
              <w:widowControl/>
              <w:spacing w:line="240" w:lineRule="exact"/>
              <w:jc w:val="center"/>
              <w:rPr>
                <w:rFonts w:cs="宋体"/>
                <w:b w:val="0"/>
                <w:color w:val="FF0000"/>
                <w:spacing w:val="0"/>
                <w:sz w:val="21"/>
                <w:szCs w:val="21"/>
              </w:rPr>
            </w:pPr>
          </w:p>
        </w:tc>
        <w:tc>
          <w:tcPr>
            <w:tcW w:w="0" w:type="auto"/>
            <w:tcBorders>
              <w:top w:val="nil"/>
              <w:left w:val="nil"/>
              <w:bottom w:val="single" w:color="auto" w:sz="4" w:space="0"/>
              <w:right w:val="single" w:color="auto" w:sz="4" w:space="0"/>
            </w:tcBorders>
            <w:shd w:val="clear" w:color="auto" w:fill="auto"/>
            <w:vAlign w:val="center"/>
          </w:tcPr>
          <w:p w14:paraId="52EB696B">
            <w:pPr>
              <w:widowControl/>
              <w:spacing w:line="240" w:lineRule="exact"/>
              <w:jc w:val="center"/>
              <w:rPr>
                <w:rFonts w:cs="宋体"/>
                <w:b w:val="0"/>
                <w:color w:val="FF0000"/>
                <w:spacing w:val="0"/>
                <w:sz w:val="21"/>
                <w:szCs w:val="21"/>
              </w:rPr>
            </w:pPr>
          </w:p>
        </w:tc>
      </w:tr>
      <w:tr w14:paraId="741ADA68">
        <w:tblPrEx>
          <w:tblCellMar>
            <w:top w:w="0" w:type="dxa"/>
            <w:left w:w="108" w:type="dxa"/>
            <w:bottom w:w="0" w:type="dxa"/>
            <w:right w:w="108" w:type="dxa"/>
          </w:tblCellMar>
        </w:tblPrEx>
        <w:trPr>
          <w:trHeight w:val="3280" w:hRule="atLeast"/>
          <w:jc w:val="center"/>
        </w:trPr>
        <w:tc>
          <w:tcPr>
            <w:tcW w:w="0" w:type="auto"/>
            <w:vMerge w:val="continue"/>
            <w:tcBorders>
              <w:left w:val="single" w:color="auto" w:sz="4" w:space="0"/>
              <w:right w:val="single" w:color="auto" w:sz="4" w:space="0"/>
            </w:tcBorders>
            <w:vAlign w:val="center"/>
          </w:tcPr>
          <w:p w14:paraId="28284EFC">
            <w:pPr>
              <w:widowControl/>
              <w:spacing w:line="240" w:lineRule="exact"/>
              <w:jc w:val="center"/>
              <w:rPr>
                <w:rFonts w:ascii="楷体_GB2312" w:eastAsia="楷体_GB2312" w:cs="宋体"/>
                <w:b w:val="0"/>
                <w:color w:val="000000"/>
                <w:spacing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30556B6A">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0"/>
                <w:szCs w:val="20"/>
              </w:rPr>
              <w:t>科研成果</w:t>
            </w:r>
          </w:p>
        </w:tc>
        <w:tc>
          <w:tcPr>
            <w:tcW w:w="7149" w:type="dxa"/>
            <w:tcBorders>
              <w:top w:val="single" w:color="auto" w:sz="4" w:space="0"/>
              <w:left w:val="nil"/>
              <w:bottom w:val="single" w:color="auto" w:sz="4" w:space="0"/>
              <w:right w:val="single" w:color="auto" w:sz="4" w:space="0"/>
            </w:tcBorders>
            <w:shd w:val="clear" w:color="auto" w:fill="auto"/>
            <w:vAlign w:val="center"/>
          </w:tcPr>
          <w:p w14:paraId="225A4AE7">
            <w:pPr>
              <w:widowControl/>
              <w:rPr>
                <w:rFonts w:asciiTheme="majorEastAsia" w:hAnsiTheme="majorEastAsia" w:eastAsiaTheme="majorEastAsia" w:cstheme="majorEastAsia"/>
                <w:b w:val="0"/>
                <w:spacing w:val="-4"/>
                <w:sz w:val="16"/>
                <w:szCs w:val="16"/>
              </w:rPr>
            </w:pPr>
            <w:r>
              <w:rPr>
                <w:rFonts w:hint="eastAsia" w:asciiTheme="majorEastAsia" w:hAnsiTheme="majorEastAsia" w:eastAsiaTheme="majorEastAsia" w:cstheme="majorEastAsia"/>
                <w:b w:val="0"/>
                <w:spacing w:val="-4"/>
                <w:sz w:val="16"/>
                <w:szCs w:val="16"/>
              </w:rPr>
              <w:t>1. SCI、SSCI一区检索的本学科学术期刊论文，每篇得15分（第一作者，不含并列第一作者）；</w:t>
            </w:r>
          </w:p>
          <w:p w14:paraId="28D46233">
            <w:pPr>
              <w:widowControl/>
              <w:rPr>
                <w:rFonts w:asciiTheme="majorEastAsia" w:hAnsiTheme="majorEastAsia" w:eastAsiaTheme="majorEastAsia" w:cstheme="majorEastAsia"/>
                <w:b w:val="0"/>
                <w:spacing w:val="-4"/>
                <w:sz w:val="16"/>
                <w:szCs w:val="16"/>
              </w:rPr>
            </w:pPr>
            <w:r>
              <w:rPr>
                <w:rFonts w:hint="eastAsia" w:asciiTheme="majorEastAsia" w:hAnsiTheme="majorEastAsia" w:eastAsiaTheme="majorEastAsia" w:cstheme="majorEastAsia"/>
                <w:b w:val="0"/>
                <w:spacing w:val="-4"/>
                <w:sz w:val="16"/>
                <w:szCs w:val="16"/>
              </w:rPr>
              <w:t>2. SCI、SSCI一区检索（并列第一作者）或SCI、SSCI二区检索的本学科学术期刊论文（第一作者，不含并列第一作者），每篇得10分；</w:t>
            </w:r>
          </w:p>
          <w:p w14:paraId="3BEC1B15">
            <w:pPr>
              <w:widowControl/>
              <w:rPr>
                <w:rFonts w:asciiTheme="majorEastAsia" w:hAnsiTheme="majorEastAsia" w:eastAsiaTheme="majorEastAsia" w:cstheme="majorEastAsia"/>
                <w:b w:val="0"/>
                <w:spacing w:val="-4"/>
                <w:sz w:val="16"/>
                <w:szCs w:val="16"/>
              </w:rPr>
            </w:pPr>
            <w:r>
              <w:rPr>
                <w:rFonts w:hint="eastAsia" w:asciiTheme="majorEastAsia" w:hAnsiTheme="majorEastAsia" w:eastAsiaTheme="majorEastAsia" w:cstheme="majorEastAsia"/>
                <w:b w:val="0"/>
                <w:spacing w:val="-4"/>
                <w:sz w:val="16"/>
                <w:szCs w:val="16"/>
              </w:rPr>
              <w:t>3. SCI、SSCI二区检索（并列第一作者）或SCI、SSCI三区检索的本学科学术期刊论文（第一作者，不含并列第一作者），每篇得5分；</w:t>
            </w:r>
          </w:p>
          <w:p w14:paraId="766F9C41">
            <w:pPr>
              <w:widowControl/>
              <w:rPr>
                <w:rFonts w:hint="eastAsia" w:asciiTheme="majorEastAsia" w:hAnsiTheme="majorEastAsia" w:eastAsiaTheme="majorEastAsia" w:cstheme="majorEastAsia"/>
                <w:b/>
                <w:bCs/>
                <w:spacing w:val="-4"/>
                <w:sz w:val="16"/>
                <w:szCs w:val="16"/>
              </w:rPr>
            </w:pPr>
            <w:r>
              <w:rPr>
                <w:rFonts w:hint="eastAsia" w:asciiTheme="majorEastAsia" w:hAnsiTheme="majorEastAsia" w:eastAsiaTheme="majorEastAsia" w:cstheme="majorEastAsia"/>
                <w:b w:val="0"/>
                <w:spacing w:val="-4"/>
                <w:sz w:val="16"/>
                <w:szCs w:val="16"/>
              </w:rPr>
              <w:t>4. SCI、SSCI三区检索（并列第一作者）或SCI、SSCI四区检索（第一作者，不含并列第一作者）或EI检索的本学科学术期刊论文（第一作者，不含并列第一作者），每篇得2分。</w:t>
            </w:r>
            <w:r>
              <w:rPr>
                <w:rFonts w:hint="eastAsia" w:asciiTheme="majorEastAsia" w:hAnsiTheme="majorEastAsia" w:eastAsiaTheme="majorEastAsia" w:cstheme="majorEastAsia"/>
                <w:b/>
                <w:bCs/>
                <w:spacing w:val="-4"/>
                <w:sz w:val="16"/>
                <w:szCs w:val="16"/>
              </w:rPr>
              <w:t>SCI、SSCI分区以中科院年度分区为准。</w:t>
            </w:r>
          </w:p>
          <w:p w14:paraId="77BC1210">
            <w:pPr>
              <w:widowControl/>
              <w:numPr>
                <w:ilvl w:val="0"/>
                <w:numId w:val="0"/>
              </w:numPr>
              <w:spacing w:line="120" w:lineRule="auto"/>
              <w:ind w:leftChars="0"/>
              <w:rPr>
                <w:rFonts w:hint="eastAsia" w:asciiTheme="majorEastAsia" w:hAnsiTheme="majorEastAsia" w:eastAsiaTheme="majorEastAsia" w:cstheme="majorEastAsia"/>
                <w:b w:val="0"/>
                <w:spacing w:val="-4"/>
                <w:sz w:val="16"/>
                <w:szCs w:val="16"/>
              </w:rPr>
            </w:pPr>
            <w:r>
              <w:rPr>
                <w:rFonts w:hint="eastAsia" w:asciiTheme="majorEastAsia" w:hAnsiTheme="majorEastAsia" w:eastAsiaTheme="majorEastAsia" w:cstheme="majorEastAsia"/>
                <w:b w:val="0"/>
                <w:spacing w:val="-4"/>
                <w:sz w:val="16"/>
                <w:szCs w:val="16"/>
              </w:rPr>
              <w:t>5.作为第一发明人发表发明专利，每项得10分。</w:t>
            </w:r>
          </w:p>
          <w:p w14:paraId="0D3061B7">
            <w:pPr>
              <w:widowControl/>
              <w:numPr>
                <w:ilvl w:val="0"/>
                <w:numId w:val="0"/>
              </w:numPr>
              <w:spacing w:line="120" w:lineRule="auto"/>
              <w:ind w:leftChars="0"/>
              <w:rPr>
                <w:rFonts w:asciiTheme="minorEastAsia" w:hAnsiTheme="minorEastAsia" w:eastAsiaTheme="minorEastAsia" w:cstheme="minorEastAsia"/>
                <w:b w:val="0"/>
                <w:spacing w:val="-4"/>
                <w:sz w:val="18"/>
                <w:szCs w:val="18"/>
              </w:rPr>
            </w:pPr>
            <w:r>
              <w:rPr>
                <w:rFonts w:hint="eastAsia" w:asciiTheme="majorEastAsia" w:hAnsiTheme="majorEastAsia" w:eastAsiaTheme="majorEastAsia" w:cstheme="majorEastAsia"/>
                <w:b w:val="0"/>
                <w:spacing w:val="-4"/>
                <w:sz w:val="16"/>
                <w:szCs w:val="16"/>
                <w:lang w:val="en-US" w:eastAsia="zh-CN"/>
              </w:rPr>
              <w:t>6.</w:t>
            </w:r>
            <w:r>
              <w:rPr>
                <w:rFonts w:hint="eastAsia" w:asciiTheme="majorEastAsia" w:hAnsiTheme="majorEastAsia" w:eastAsiaTheme="majorEastAsia" w:cstheme="majorEastAsia"/>
                <w:b w:val="0"/>
                <w:spacing w:val="-4"/>
                <w:sz w:val="16"/>
                <w:szCs w:val="16"/>
              </w:rPr>
              <w:t>各项累加不超过20分。</w:t>
            </w:r>
          </w:p>
        </w:tc>
        <w:tc>
          <w:tcPr>
            <w:tcW w:w="527" w:type="dxa"/>
            <w:tcBorders>
              <w:top w:val="single" w:color="auto" w:sz="4" w:space="0"/>
              <w:left w:val="nil"/>
              <w:bottom w:val="single" w:color="auto" w:sz="4" w:space="0"/>
              <w:right w:val="single" w:color="auto" w:sz="4" w:space="0"/>
            </w:tcBorders>
            <w:shd w:val="clear" w:color="auto" w:fill="auto"/>
            <w:vAlign w:val="center"/>
          </w:tcPr>
          <w:p w14:paraId="60B0C358">
            <w:pPr>
              <w:widowControl/>
              <w:spacing w:line="240" w:lineRule="exact"/>
              <w:jc w:val="center"/>
              <w:rPr>
                <w:rFonts w:hint="default" w:eastAsia="宋体" w:cs="宋体"/>
                <w:b w:val="0"/>
                <w:spacing w:val="0"/>
                <w:sz w:val="24"/>
                <w:szCs w:val="24"/>
                <w:lang w:val="en-US" w:eastAsia="zh-CN"/>
              </w:rPr>
            </w:pPr>
            <w:r>
              <w:rPr>
                <w:rFonts w:hint="eastAsia" w:cs="宋体"/>
                <w:b w:val="0"/>
                <w:spacing w:val="0"/>
                <w:sz w:val="24"/>
                <w:szCs w:val="24"/>
                <w:lang w:val="en-US" w:eastAsia="zh-CN"/>
              </w:rPr>
              <w:t>20</w:t>
            </w:r>
          </w:p>
        </w:tc>
        <w:tc>
          <w:tcPr>
            <w:tcW w:w="0" w:type="auto"/>
            <w:tcBorders>
              <w:top w:val="single" w:color="auto" w:sz="4" w:space="0"/>
              <w:left w:val="nil"/>
              <w:bottom w:val="single" w:color="auto" w:sz="4" w:space="0"/>
              <w:right w:val="single" w:color="auto" w:sz="4" w:space="0"/>
            </w:tcBorders>
            <w:shd w:val="clear" w:color="auto" w:fill="auto"/>
            <w:vAlign w:val="center"/>
          </w:tcPr>
          <w:p w14:paraId="2D1BC46E">
            <w:pPr>
              <w:widowControl/>
              <w:spacing w:line="240" w:lineRule="exact"/>
              <w:jc w:val="center"/>
              <w:rPr>
                <w:rFonts w:cs="宋体"/>
                <w:b w:val="0"/>
                <w:color w:val="FF0000"/>
                <w:spacing w:val="0"/>
                <w:sz w:val="21"/>
                <w:szCs w:val="21"/>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197E35B8">
            <w:pPr>
              <w:widowControl/>
              <w:spacing w:line="240" w:lineRule="exact"/>
              <w:jc w:val="center"/>
              <w:rPr>
                <w:rFonts w:cs="宋体"/>
                <w:b w:val="0"/>
                <w:color w:val="FF0000"/>
                <w:spacing w:val="0"/>
                <w:sz w:val="21"/>
                <w:szCs w:val="21"/>
              </w:rPr>
            </w:pPr>
          </w:p>
        </w:tc>
      </w:tr>
      <w:tr w14:paraId="5014D71A">
        <w:tblPrEx>
          <w:tblCellMar>
            <w:top w:w="0" w:type="dxa"/>
            <w:left w:w="108" w:type="dxa"/>
            <w:bottom w:w="0" w:type="dxa"/>
            <w:right w:w="108" w:type="dxa"/>
          </w:tblCellMar>
        </w:tblPrEx>
        <w:trPr>
          <w:trHeight w:val="1757" w:hRule="atLeast"/>
          <w:jc w:val="center"/>
        </w:trPr>
        <w:tc>
          <w:tcPr>
            <w:tcW w:w="0" w:type="auto"/>
            <w:vMerge w:val="continue"/>
            <w:tcBorders>
              <w:left w:val="single" w:color="auto" w:sz="4" w:space="0"/>
              <w:right w:val="single" w:color="auto" w:sz="4" w:space="0"/>
            </w:tcBorders>
            <w:vAlign w:val="center"/>
          </w:tcPr>
          <w:p w14:paraId="3B0E82AF">
            <w:pPr>
              <w:widowControl/>
              <w:spacing w:line="240" w:lineRule="exact"/>
              <w:jc w:val="center"/>
              <w:rPr>
                <w:rFonts w:ascii="楷体_GB2312" w:eastAsia="楷体_GB2312" w:cs="宋体"/>
                <w:b w:val="0"/>
                <w:color w:val="000000"/>
                <w:spacing w:val="0"/>
                <w:sz w:val="24"/>
                <w:szCs w:val="24"/>
              </w:rPr>
            </w:pPr>
          </w:p>
        </w:tc>
        <w:tc>
          <w:tcPr>
            <w:tcW w:w="0" w:type="auto"/>
            <w:tcBorders>
              <w:top w:val="single" w:color="auto" w:sz="4" w:space="0"/>
              <w:left w:val="single" w:color="auto" w:sz="4" w:space="0"/>
              <w:right w:val="single" w:color="auto" w:sz="4" w:space="0"/>
            </w:tcBorders>
            <w:shd w:val="clear" w:color="auto" w:fill="auto"/>
            <w:vAlign w:val="center"/>
          </w:tcPr>
          <w:p w14:paraId="5AEF4034">
            <w:pPr>
              <w:widowControl/>
              <w:spacing w:line="240" w:lineRule="exact"/>
              <w:jc w:val="center"/>
              <w:rPr>
                <w:rFonts w:hint="eastAsia" w:ascii="楷体" w:hAnsi="楷体" w:eastAsia="楷体" w:cs="楷体"/>
                <w:b w:val="0"/>
                <w:color w:val="000000"/>
                <w:spacing w:val="0"/>
                <w:sz w:val="24"/>
                <w:szCs w:val="24"/>
              </w:rPr>
            </w:pPr>
            <w:r>
              <w:rPr>
                <w:rFonts w:hint="eastAsia" w:ascii="楷体" w:hAnsi="楷体" w:eastAsia="楷体" w:cs="楷体"/>
                <w:b w:val="0"/>
                <w:color w:val="000000"/>
                <w:spacing w:val="0"/>
                <w:sz w:val="20"/>
                <w:szCs w:val="20"/>
              </w:rPr>
              <w:t>职业资格</w:t>
            </w:r>
          </w:p>
        </w:tc>
        <w:tc>
          <w:tcPr>
            <w:tcW w:w="7149" w:type="dxa"/>
            <w:tcBorders>
              <w:top w:val="single" w:color="auto" w:sz="4" w:space="0"/>
              <w:left w:val="single" w:color="auto" w:sz="4" w:space="0"/>
              <w:right w:val="single" w:color="auto" w:sz="4" w:space="0"/>
            </w:tcBorders>
            <w:shd w:val="clear" w:color="auto" w:fill="auto"/>
            <w:vAlign w:val="center"/>
          </w:tcPr>
          <w:p w14:paraId="58BB8405">
            <w:pPr>
              <w:widowControl/>
              <w:numPr>
                <w:ilvl w:val="0"/>
                <w:numId w:val="0"/>
              </w:numPr>
              <w:spacing w:line="120" w:lineRule="auto"/>
              <w:rPr>
                <w:rFonts w:hint="eastAsia" w:asciiTheme="majorEastAsia" w:hAnsiTheme="majorEastAsia" w:eastAsiaTheme="majorEastAsia" w:cstheme="majorEastAsia"/>
                <w:b w:val="0"/>
                <w:color w:val="000000"/>
                <w:spacing w:val="0"/>
                <w:sz w:val="16"/>
                <w:szCs w:val="16"/>
                <w:lang w:eastAsia="zh-CN"/>
              </w:rPr>
            </w:pPr>
            <w:r>
              <w:rPr>
                <w:rFonts w:hint="eastAsia" w:asciiTheme="majorEastAsia" w:hAnsiTheme="majorEastAsia" w:eastAsiaTheme="majorEastAsia" w:cstheme="majorEastAsia"/>
                <w:b w:val="0"/>
                <w:color w:val="000000"/>
                <w:spacing w:val="0"/>
                <w:sz w:val="16"/>
                <w:szCs w:val="16"/>
                <w:lang w:val="en-US" w:eastAsia="zh-CN"/>
              </w:rPr>
              <w:t>1.</w:t>
            </w:r>
            <w:r>
              <w:rPr>
                <w:rFonts w:hint="eastAsia" w:asciiTheme="majorEastAsia" w:hAnsiTheme="majorEastAsia" w:eastAsiaTheme="majorEastAsia" w:cstheme="majorEastAsia"/>
                <w:b w:val="0"/>
                <w:color w:val="000000"/>
                <w:spacing w:val="0"/>
                <w:sz w:val="16"/>
                <w:szCs w:val="16"/>
              </w:rPr>
              <w:t>取得副高级及以上水平评价类专业技术人员职业资格</w:t>
            </w:r>
            <w:r>
              <w:rPr>
                <w:rFonts w:hint="eastAsia" w:asciiTheme="majorEastAsia" w:hAnsiTheme="majorEastAsia" w:eastAsiaTheme="majorEastAsia" w:cstheme="majorEastAsia"/>
                <w:b w:val="0"/>
                <w:color w:val="000000"/>
                <w:spacing w:val="-4"/>
                <w:sz w:val="16"/>
                <w:szCs w:val="16"/>
              </w:rPr>
              <w:t>的得</w:t>
            </w:r>
            <w:r>
              <w:rPr>
                <w:rFonts w:hint="eastAsia" w:asciiTheme="majorEastAsia" w:hAnsiTheme="majorEastAsia" w:eastAsiaTheme="majorEastAsia" w:cstheme="majorEastAsia"/>
                <w:b w:val="0"/>
                <w:color w:val="000000"/>
                <w:spacing w:val="-4"/>
                <w:sz w:val="16"/>
                <w:szCs w:val="16"/>
                <w:lang w:val="en-US" w:eastAsia="zh-CN"/>
              </w:rPr>
              <w:t>5</w:t>
            </w:r>
            <w:r>
              <w:rPr>
                <w:rFonts w:hint="eastAsia" w:asciiTheme="majorEastAsia" w:hAnsiTheme="majorEastAsia" w:eastAsiaTheme="majorEastAsia" w:cstheme="majorEastAsia"/>
                <w:b w:val="0"/>
                <w:color w:val="000000"/>
                <w:spacing w:val="-4"/>
                <w:sz w:val="16"/>
                <w:szCs w:val="16"/>
              </w:rPr>
              <w:t>分，</w:t>
            </w:r>
            <w:r>
              <w:rPr>
                <w:rFonts w:hint="eastAsia" w:asciiTheme="majorEastAsia" w:hAnsiTheme="majorEastAsia" w:eastAsiaTheme="majorEastAsia" w:cstheme="majorEastAsia"/>
                <w:b w:val="0"/>
                <w:color w:val="000000"/>
                <w:spacing w:val="0"/>
                <w:sz w:val="16"/>
                <w:szCs w:val="16"/>
              </w:rPr>
              <w:t>取得可对应至中级职称的专业技术人员职业资格得</w:t>
            </w:r>
            <w:r>
              <w:rPr>
                <w:rFonts w:hint="eastAsia" w:asciiTheme="majorEastAsia" w:hAnsiTheme="majorEastAsia" w:eastAsiaTheme="majorEastAsia" w:cstheme="majorEastAsia"/>
                <w:b w:val="0"/>
                <w:color w:val="000000"/>
                <w:spacing w:val="0"/>
                <w:sz w:val="16"/>
                <w:szCs w:val="16"/>
                <w:lang w:val="en-US" w:eastAsia="zh-CN"/>
              </w:rPr>
              <w:t>3</w:t>
            </w:r>
            <w:r>
              <w:rPr>
                <w:rFonts w:hint="eastAsia" w:asciiTheme="majorEastAsia" w:hAnsiTheme="majorEastAsia" w:eastAsiaTheme="majorEastAsia" w:cstheme="majorEastAsia"/>
                <w:b w:val="0"/>
                <w:color w:val="000000"/>
                <w:spacing w:val="0"/>
                <w:sz w:val="16"/>
                <w:szCs w:val="16"/>
              </w:rPr>
              <w:t>分，在可按照级别划分的准入类专业技术人员职业资格中取得最高级别职业资格的得5分</w:t>
            </w:r>
            <w:r>
              <w:rPr>
                <w:rFonts w:hint="eastAsia" w:asciiTheme="majorEastAsia" w:hAnsiTheme="majorEastAsia" w:eastAsiaTheme="majorEastAsia" w:cstheme="majorEastAsia"/>
                <w:b w:val="0"/>
                <w:color w:val="000000"/>
                <w:spacing w:val="0"/>
                <w:sz w:val="16"/>
                <w:szCs w:val="16"/>
                <w:lang w:eastAsia="zh-CN"/>
              </w:rPr>
              <w:t>。</w:t>
            </w:r>
          </w:p>
          <w:p w14:paraId="79024BA5">
            <w:pPr>
              <w:widowControl/>
              <w:numPr>
                <w:ilvl w:val="0"/>
                <w:numId w:val="0"/>
              </w:numPr>
              <w:spacing w:line="120" w:lineRule="auto"/>
              <w:ind w:leftChars="0"/>
              <w:rPr>
                <w:rFonts w:hint="eastAsia" w:asciiTheme="majorEastAsia" w:hAnsiTheme="majorEastAsia" w:eastAsiaTheme="majorEastAsia" w:cstheme="majorEastAsia"/>
                <w:b w:val="0"/>
                <w:color w:val="000000"/>
                <w:spacing w:val="0"/>
                <w:sz w:val="16"/>
                <w:szCs w:val="16"/>
                <w:lang w:val="en-US" w:eastAsia="zh-CN"/>
              </w:rPr>
            </w:pPr>
            <w:r>
              <w:rPr>
                <w:rFonts w:hint="eastAsia" w:asciiTheme="majorEastAsia" w:hAnsiTheme="majorEastAsia" w:eastAsiaTheme="majorEastAsia" w:cstheme="majorEastAsia"/>
                <w:b w:val="0"/>
                <w:color w:val="000000"/>
                <w:spacing w:val="0"/>
                <w:sz w:val="16"/>
                <w:szCs w:val="16"/>
                <w:lang w:val="en-US" w:eastAsia="zh-CN"/>
              </w:rPr>
              <w:t>2.取得执业医师资格证（取得执业医师考试成绩合格单尚未注册）或取得住院医师规范化培训合格证的得5分</w:t>
            </w:r>
            <w:r>
              <w:rPr>
                <w:rFonts w:hint="eastAsia" w:asciiTheme="majorEastAsia" w:hAnsiTheme="majorEastAsia" w:eastAsiaTheme="majorEastAsia" w:cstheme="majorEastAsia"/>
                <w:b w:val="0"/>
                <w:color w:val="auto"/>
                <w:spacing w:val="0"/>
                <w:sz w:val="16"/>
                <w:szCs w:val="16"/>
                <w:lang w:val="en-US" w:eastAsia="zh-CN"/>
              </w:rPr>
              <w:t>。</w:t>
            </w:r>
          </w:p>
          <w:p w14:paraId="3339D56B">
            <w:pPr>
              <w:widowControl/>
              <w:numPr>
                <w:ilvl w:val="0"/>
                <w:numId w:val="0"/>
              </w:numPr>
              <w:spacing w:line="120" w:lineRule="auto"/>
              <w:ind w:leftChars="0"/>
              <w:rPr>
                <w:rFonts w:hint="default" w:asciiTheme="majorEastAsia" w:hAnsiTheme="majorEastAsia" w:eastAsiaTheme="majorEastAsia" w:cstheme="majorEastAsia"/>
                <w:b w:val="0"/>
                <w:spacing w:val="-4"/>
                <w:sz w:val="18"/>
                <w:szCs w:val="18"/>
                <w:lang w:val="en-US" w:eastAsia="zh-CN"/>
              </w:rPr>
            </w:pPr>
            <w:r>
              <w:rPr>
                <w:rFonts w:hint="eastAsia" w:asciiTheme="majorEastAsia" w:hAnsiTheme="majorEastAsia" w:eastAsiaTheme="majorEastAsia" w:cstheme="majorEastAsia"/>
                <w:b w:val="0"/>
                <w:color w:val="000000"/>
                <w:spacing w:val="-4"/>
                <w:sz w:val="16"/>
                <w:szCs w:val="16"/>
                <w:lang w:val="en-US" w:eastAsia="zh-CN"/>
              </w:rPr>
              <w:t>3.</w:t>
            </w:r>
            <w:r>
              <w:rPr>
                <w:rFonts w:hint="eastAsia" w:asciiTheme="majorEastAsia" w:hAnsiTheme="majorEastAsia" w:eastAsiaTheme="majorEastAsia" w:cstheme="majorEastAsia"/>
                <w:b w:val="0"/>
                <w:color w:val="000000"/>
                <w:spacing w:val="-4"/>
                <w:sz w:val="16"/>
                <w:szCs w:val="16"/>
              </w:rPr>
              <w:t>各项累加不超过</w:t>
            </w:r>
            <w:r>
              <w:rPr>
                <w:rFonts w:hint="eastAsia" w:asciiTheme="majorEastAsia" w:hAnsiTheme="majorEastAsia" w:eastAsiaTheme="majorEastAsia" w:cstheme="majorEastAsia"/>
                <w:b w:val="0"/>
                <w:color w:val="000000"/>
                <w:spacing w:val="-4"/>
                <w:sz w:val="16"/>
                <w:szCs w:val="16"/>
                <w:lang w:val="en-US" w:eastAsia="zh-CN"/>
              </w:rPr>
              <w:t>5</w:t>
            </w:r>
            <w:r>
              <w:rPr>
                <w:rFonts w:hint="eastAsia" w:asciiTheme="majorEastAsia" w:hAnsiTheme="majorEastAsia" w:eastAsiaTheme="majorEastAsia" w:cstheme="majorEastAsia"/>
                <w:b w:val="0"/>
                <w:color w:val="000000"/>
                <w:spacing w:val="-4"/>
                <w:sz w:val="16"/>
                <w:szCs w:val="16"/>
              </w:rPr>
              <w:t>分。</w:t>
            </w:r>
          </w:p>
        </w:tc>
        <w:tc>
          <w:tcPr>
            <w:tcW w:w="527" w:type="dxa"/>
            <w:tcBorders>
              <w:top w:val="single" w:color="auto" w:sz="4" w:space="0"/>
              <w:left w:val="single" w:color="auto" w:sz="4" w:space="0"/>
              <w:right w:val="single" w:color="auto" w:sz="4" w:space="0"/>
            </w:tcBorders>
            <w:shd w:val="clear" w:color="auto" w:fill="auto"/>
            <w:vAlign w:val="center"/>
          </w:tcPr>
          <w:p w14:paraId="501E7A87">
            <w:pPr>
              <w:widowControl/>
              <w:spacing w:line="240" w:lineRule="exact"/>
              <w:jc w:val="center"/>
              <w:rPr>
                <w:rFonts w:hint="default" w:asciiTheme="majorEastAsia" w:hAnsiTheme="majorEastAsia" w:eastAsiaTheme="majorEastAsia" w:cstheme="majorEastAsia"/>
                <w:b w:val="0"/>
                <w:color w:val="000000"/>
                <w:spacing w:val="0"/>
                <w:sz w:val="24"/>
                <w:szCs w:val="24"/>
                <w:lang w:val="en-US" w:eastAsia="zh-CN"/>
              </w:rPr>
            </w:pPr>
            <w:r>
              <w:rPr>
                <w:rFonts w:hint="eastAsia" w:asciiTheme="majorEastAsia" w:hAnsiTheme="majorEastAsia" w:eastAsiaTheme="majorEastAsia" w:cstheme="majorEastAsia"/>
                <w:b w:val="0"/>
                <w:color w:val="000000"/>
                <w:spacing w:val="0"/>
                <w:sz w:val="24"/>
                <w:szCs w:val="24"/>
                <w:lang w:val="en-US" w:eastAsia="zh-CN"/>
              </w:rPr>
              <w:t>5</w:t>
            </w:r>
          </w:p>
        </w:tc>
        <w:tc>
          <w:tcPr>
            <w:tcW w:w="0" w:type="auto"/>
            <w:tcBorders>
              <w:top w:val="single" w:color="auto" w:sz="4" w:space="0"/>
              <w:left w:val="single" w:color="auto" w:sz="4" w:space="0"/>
              <w:right w:val="single" w:color="auto" w:sz="4" w:space="0"/>
            </w:tcBorders>
            <w:shd w:val="clear" w:color="auto" w:fill="auto"/>
            <w:vAlign w:val="center"/>
          </w:tcPr>
          <w:p w14:paraId="0D5DE41E">
            <w:pPr>
              <w:widowControl/>
              <w:spacing w:line="240" w:lineRule="exact"/>
              <w:jc w:val="center"/>
              <w:rPr>
                <w:rFonts w:cs="宋体"/>
                <w:b w:val="0"/>
                <w:color w:val="FF0000"/>
                <w:spacing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C12A70">
            <w:pPr>
              <w:widowControl/>
              <w:spacing w:line="240" w:lineRule="exact"/>
              <w:jc w:val="center"/>
              <w:rPr>
                <w:rFonts w:cs="宋体"/>
                <w:b w:val="0"/>
                <w:color w:val="FF0000"/>
                <w:spacing w:val="0"/>
                <w:sz w:val="21"/>
                <w:szCs w:val="21"/>
              </w:rPr>
            </w:pPr>
          </w:p>
        </w:tc>
      </w:tr>
      <w:tr w14:paraId="301A8137">
        <w:tblPrEx>
          <w:tblCellMar>
            <w:top w:w="0" w:type="dxa"/>
            <w:left w:w="108" w:type="dxa"/>
            <w:bottom w:w="0" w:type="dxa"/>
            <w:right w:w="108" w:type="dxa"/>
          </w:tblCellMar>
        </w:tblPrEx>
        <w:trPr>
          <w:trHeight w:val="912" w:hRule="atLeast"/>
          <w:jc w:val="center"/>
        </w:trPr>
        <w:tc>
          <w:tcPr>
            <w:tcW w:w="0" w:type="auto"/>
            <w:vMerge w:val="continue"/>
            <w:tcBorders>
              <w:left w:val="single" w:color="auto" w:sz="4" w:space="0"/>
              <w:right w:val="single" w:color="auto" w:sz="4" w:space="0"/>
            </w:tcBorders>
            <w:vAlign w:val="center"/>
          </w:tcPr>
          <w:p w14:paraId="4279A252">
            <w:pPr>
              <w:widowControl/>
              <w:spacing w:line="240" w:lineRule="exact"/>
              <w:jc w:val="center"/>
              <w:rPr>
                <w:rFonts w:ascii="楷体_GB2312" w:eastAsia="楷体_GB2312" w:cs="宋体"/>
                <w:b w:val="0"/>
                <w:color w:val="000000"/>
                <w:spacing w:val="0"/>
                <w:sz w:val="24"/>
                <w:szCs w:val="24"/>
              </w:rPr>
            </w:pPr>
          </w:p>
        </w:tc>
        <w:tc>
          <w:tcPr>
            <w:tcW w:w="0" w:type="auto"/>
            <w:tcBorders>
              <w:top w:val="single" w:color="auto" w:sz="4" w:space="0"/>
              <w:left w:val="single" w:color="auto" w:sz="4" w:space="0"/>
              <w:right w:val="single" w:color="auto" w:sz="4" w:space="0"/>
            </w:tcBorders>
            <w:shd w:val="clear" w:color="auto" w:fill="auto"/>
            <w:vAlign w:val="center"/>
          </w:tcPr>
          <w:p w14:paraId="3F753331">
            <w:pPr>
              <w:widowControl/>
              <w:spacing w:line="240" w:lineRule="exact"/>
              <w:jc w:val="center"/>
              <w:rPr>
                <w:rFonts w:hint="default" w:ascii="楷体" w:hAnsi="楷体" w:eastAsia="楷体" w:cs="楷体"/>
                <w:b w:val="0"/>
                <w:color w:val="000000"/>
                <w:spacing w:val="0"/>
                <w:sz w:val="24"/>
                <w:szCs w:val="24"/>
                <w:lang w:val="en-US" w:eastAsia="zh-CN" w:bidi="ar-SA"/>
              </w:rPr>
            </w:pPr>
            <w:r>
              <w:rPr>
                <w:rFonts w:hint="eastAsia" w:ascii="楷体" w:hAnsi="楷体" w:eastAsia="楷体" w:cs="楷体"/>
                <w:b w:val="0"/>
                <w:color w:val="000000"/>
                <w:spacing w:val="0"/>
                <w:sz w:val="20"/>
                <w:szCs w:val="20"/>
              </w:rPr>
              <w:t>专业技术职称</w:t>
            </w:r>
          </w:p>
        </w:tc>
        <w:tc>
          <w:tcPr>
            <w:tcW w:w="7149" w:type="dxa"/>
            <w:tcBorders>
              <w:top w:val="single" w:color="auto" w:sz="4" w:space="0"/>
              <w:left w:val="single" w:color="auto" w:sz="4" w:space="0"/>
              <w:right w:val="single" w:color="auto" w:sz="4" w:space="0"/>
            </w:tcBorders>
            <w:shd w:val="clear" w:color="auto" w:fill="auto"/>
            <w:vAlign w:val="center"/>
          </w:tcPr>
          <w:p w14:paraId="2E544E17">
            <w:pPr>
              <w:widowControl/>
              <w:spacing w:line="120" w:lineRule="auto"/>
              <w:rPr>
                <w:rFonts w:hint="default" w:asciiTheme="majorEastAsia" w:hAnsiTheme="majorEastAsia" w:eastAsiaTheme="majorEastAsia" w:cstheme="majorEastAsia"/>
                <w:b w:val="0"/>
                <w:spacing w:val="-4"/>
                <w:sz w:val="18"/>
                <w:szCs w:val="18"/>
                <w:lang w:val="en-US" w:eastAsia="zh-CN"/>
              </w:rPr>
            </w:pPr>
            <w:r>
              <w:rPr>
                <w:rFonts w:hint="eastAsia" w:asciiTheme="majorEastAsia" w:hAnsiTheme="majorEastAsia" w:eastAsiaTheme="majorEastAsia" w:cstheme="majorEastAsia"/>
                <w:b w:val="0"/>
                <w:color w:val="000000"/>
                <w:spacing w:val="0"/>
                <w:sz w:val="16"/>
                <w:szCs w:val="16"/>
              </w:rPr>
              <w:t>正高级职称得5分，副高级得3分，中级得2分，初级得1分。按所取得最高级职称计算，不累加计算。</w:t>
            </w:r>
          </w:p>
        </w:tc>
        <w:tc>
          <w:tcPr>
            <w:tcW w:w="527" w:type="dxa"/>
            <w:tcBorders>
              <w:top w:val="single" w:color="auto" w:sz="4" w:space="0"/>
              <w:left w:val="single" w:color="auto" w:sz="4" w:space="0"/>
              <w:right w:val="single" w:color="auto" w:sz="4" w:space="0"/>
            </w:tcBorders>
            <w:shd w:val="clear" w:color="auto" w:fill="auto"/>
            <w:vAlign w:val="center"/>
          </w:tcPr>
          <w:p w14:paraId="753FF853">
            <w:pPr>
              <w:widowControl/>
              <w:spacing w:line="240" w:lineRule="exact"/>
              <w:jc w:val="center"/>
              <w:rPr>
                <w:rFonts w:hint="default" w:asciiTheme="majorEastAsia" w:hAnsiTheme="majorEastAsia" w:eastAsiaTheme="majorEastAsia" w:cstheme="majorEastAsia"/>
                <w:b w:val="0"/>
                <w:color w:val="000000"/>
                <w:spacing w:val="0"/>
                <w:sz w:val="24"/>
                <w:szCs w:val="24"/>
                <w:lang w:val="en-US" w:eastAsia="zh-CN" w:bidi="ar-SA"/>
              </w:rPr>
            </w:pPr>
            <w:r>
              <w:rPr>
                <w:rFonts w:hint="eastAsia" w:asciiTheme="majorEastAsia" w:hAnsiTheme="majorEastAsia" w:eastAsiaTheme="majorEastAsia" w:cstheme="majorEastAsia"/>
                <w:b w:val="0"/>
                <w:color w:val="000000"/>
                <w:spacing w:val="0"/>
                <w:sz w:val="24"/>
                <w:szCs w:val="24"/>
                <w:lang w:val="en-US" w:eastAsia="zh-CN"/>
              </w:rPr>
              <w:t>5</w:t>
            </w:r>
          </w:p>
        </w:tc>
        <w:tc>
          <w:tcPr>
            <w:tcW w:w="0" w:type="auto"/>
            <w:tcBorders>
              <w:top w:val="single" w:color="auto" w:sz="4" w:space="0"/>
              <w:left w:val="single" w:color="auto" w:sz="4" w:space="0"/>
              <w:right w:val="single" w:color="auto" w:sz="4" w:space="0"/>
            </w:tcBorders>
            <w:shd w:val="clear" w:color="auto" w:fill="auto"/>
            <w:vAlign w:val="center"/>
          </w:tcPr>
          <w:p w14:paraId="7C094880">
            <w:pPr>
              <w:widowControl/>
              <w:spacing w:line="240" w:lineRule="exact"/>
              <w:jc w:val="center"/>
              <w:rPr>
                <w:rFonts w:cs="宋体"/>
                <w:b w:val="0"/>
                <w:color w:val="FF0000"/>
                <w:spacing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96098A">
            <w:pPr>
              <w:widowControl/>
              <w:spacing w:line="240" w:lineRule="exact"/>
              <w:jc w:val="center"/>
              <w:rPr>
                <w:rFonts w:cs="宋体"/>
                <w:b w:val="0"/>
                <w:color w:val="FF0000"/>
                <w:spacing w:val="0"/>
                <w:sz w:val="21"/>
                <w:szCs w:val="21"/>
              </w:rPr>
            </w:pPr>
          </w:p>
        </w:tc>
      </w:tr>
      <w:tr w14:paraId="746F4649">
        <w:tblPrEx>
          <w:tblCellMar>
            <w:top w:w="0" w:type="dxa"/>
            <w:left w:w="108" w:type="dxa"/>
            <w:bottom w:w="0" w:type="dxa"/>
            <w:right w:w="108" w:type="dxa"/>
          </w:tblCellMar>
        </w:tblPrEx>
        <w:trPr>
          <w:trHeight w:val="926" w:hRule="atLeast"/>
          <w:jc w:val="center"/>
        </w:trPr>
        <w:tc>
          <w:tcPr>
            <w:tcW w:w="0" w:type="auto"/>
            <w:vMerge w:val="continue"/>
            <w:tcBorders>
              <w:left w:val="single" w:color="auto" w:sz="4" w:space="0"/>
              <w:bottom w:val="single" w:color="auto" w:sz="4" w:space="0"/>
              <w:right w:val="single" w:color="auto" w:sz="4" w:space="0"/>
            </w:tcBorders>
            <w:vAlign w:val="center"/>
          </w:tcPr>
          <w:p w14:paraId="1D2A67F7">
            <w:pPr>
              <w:widowControl/>
              <w:spacing w:line="240" w:lineRule="exact"/>
              <w:jc w:val="center"/>
              <w:rPr>
                <w:rFonts w:ascii="楷体_GB2312" w:eastAsia="楷体_GB2312" w:cs="宋体"/>
                <w:b w:val="0"/>
                <w:color w:val="000000"/>
                <w:spacing w:val="0"/>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669EF4">
            <w:pPr>
              <w:widowControl/>
              <w:spacing w:line="240" w:lineRule="exact"/>
              <w:jc w:val="center"/>
              <w:rPr>
                <w:rFonts w:ascii="楷体" w:hAnsi="楷体" w:eastAsia="楷体" w:cs="楷体"/>
                <w:b w:val="0"/>
                <w:color w:val="000000"/>
                <w:spacing w:val="0"/>
                <w:sz w:val="24"/>
                <w:szCs w:val="24"/>
              </w:rPr>
            </w:pPr>
            <w:r>
              <w:rPr>
                <w:rFonts w:hint="eastAsia" w:ascii="楷体" w:hAnsi="楷体" w:eastAsia="楷体" w:cs="楷体"/>
                <w:b w:val="0"/>
                <w:color w:val="000000"/>
                <w:spacing w:val="0"/>
                <w:sz w:val="20"/>
                <w:szCs w:val="20"/>
              </w:rPr>
              <w:t>获得奖项</w:t>
            </w:r>
          </w:p>
        </w:tc>
        <w:tc>
          <w:tcPr>
            <w:tcW w:w="7149" w:type="dxa"/>
            <w:tcBorders>
              <w:top w:val="single" w:color="auto" w:sz="4" w:space="0"/>
              <w:left w:val="single" w:color="auto" w:sz="4" w:space="0"/>
              <w:bottom w:val="single" w:color="auto" w:sz="4" w:space="0"/>
              <w:right w:val="single" w:color="auto" w:sz="4" w:space="0"/>
            </w:tcBorders>
            <w:shd w:val="clear" w:color="auto" w:fill="auto"/>
            <w:vAlign w:val="center"/>
          </w:tcPr>
          <w:p w14:paraId="0DB18D12">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b w:val="0"/>
                <w:color w:val="000000"/>
                <w:spacing w:val="0"/>
                <w:sz w:val="16"/>
                <w:szCs w:val="16"/>
              </w:rPr>
            </w:pPr>
            <w:r>
              <w:rPr>
                <w:rFonts w:hint="eastAsia" w:asciiTheme="majorEastAsia" w:hAnsiTheme="majorEastAsia" w:eastAsiaTheme="majorEastAsia" w:cstheme="majorEastAsia"/>
                <w:b w:val="0"/>
                <w:color w:val="000000"/>
                <w:spacing w:val="0"/>
                <w:sz w:val="16"/>
                <w:szCs w:val="16"/>
                <w:lang w:val="en-US" w:eastAsia="zh-CN"/>
              </w:rPr>
              <w:t>1.</w:t>
            </w:r>
            <w:r>
              <w:rPr>
                <w:rFonts w:hint="eastAsia" w:asciiTheme="majorEastAsia" w:hAnsiTheme="majorEastAsia" w:eastAsiaTheme="majorEastAsia" w:cstheme="majorEastAsia"/>
                <w:b w:val="0"/>
                <w:color w:val="000000"/>
                <w:spacing w:val="0"/>
                <w:sz w:val="16"/>
                <w:szCs w:val="16"/>
              </w:rPr>
              <w:t>获得国家级荣誉者每项得</w:t>
            </w:r>
            <w:r>
              <w:rPr>
                <w:rFonts w:hint="eastAsia" w:asciiTheme="majorEastAsia" w:hAnsiTheme="majorEastAsia" w:eastAsiaTheme="majorEastAsia" w:cstheme="majorEastAsia"/>
                <w:b w:val="0"/>
                <w:color w:val="000000"/>
                <w:spacing w:val="0"/>
                <w:sz w:val="16"/>
                <w:szCs w:val="16"/>
                <w:lang w:val="en-US" w:eastAsia="zh-CN"/>
              </w:rPr>
              <w:t>10</w:t>
            </w:r>
            <w:r>
              <w:rPr>
                <w:rFonts w:hint="eastAsia" w:asciiTheme="majorEastAsia" w:hAnsiTheme="majorEastAsia" w:eastAsiaTheme="majorEastAsia" w:cstheme="majorEastAsia"/>
                <w:b w:val="0"/>
                <w:color w:val="000000"/>
                <w:spacing w:val="0"/>
                <w:sz w:val="16"/>
                <w:szCs w:val="16"/>
              </w:rPr>
              <w:t>分；获得国家部委和省级荣誉者每项得</w:t>
            </w:r>
            <w:r>
              <w:rPr>
                <w:rFonts w:hint="eastAsia" w:asciiTheme="majorEastAsia" w:hAnsiTheme="majorEastAsia" w:eastAsiaTheme="majorEastAsia" w:cstheme="majorEastAsia"/>
                <w:b w:val="0"/>
                <w:color w:val="000000"/>
                <w:spacing w:val="0"/>
                <w:sz w:val="16"/>
                <w:szCs w:val="16"/>
                <w:lang w:val="en-US" w:eastAsia="zh-CN"/>
              </w:rPr>
              <w:t>5</w:t>
            </w:r>
            <w:r>
              <w:rPr>
                <w:rFonts w:hint="eastAsia" w:asciiTheme="majorEastAsia" w:hAnsiTheme="majorEastAsia" w:eastAsiaTheme="majorEastAsia" w:cstheme="majorEastAsia"/>
                <w:b w:val="0"/>
                <w:color w:val="000000"/>
                <w:spacing w:val="0"/>
                <w:sz w:val="16"/>
                <w:szCs w:val="16"/>
              </w:rPr>
              <w:t>分；获得市级荣誉者每项得</w:t>
            </w:r>
            <w:r>
              <w:rPr>
                <w:rFonts w:hint="eastAsia" w:asciiTheme="majorEastAsia" w:hAnsiTheme="majorEastAsia" w:eastAsiaTheme="majorEastAsia" w:cstheme="majorEastAsia"/>
                <w:b w:val="0"/>
                <w:color w:val="000000"/>
                <w:spacing w:val="0"/>
                <w:sz w:val="16"/>
                <w:szCs w:val="16"/>
                <w:lang w:val="en-US" w:eastAsia="zh-CN"/>
              </w:rPr>
              <w:t>3</w:t>
            </w:r>
            <w:r>
              <w:rPr>
                <w:rFonts w:hint="eastAsia" w:asciiTheme="majorEastAsia" w:hAnsiTheme="majorEastAsia" w:eastAsiaTheme="majorEastAsia" w:cstheme="majorEastAsia"/>
                <w:b w:val="0"/>
                <w:color w:val="000000"/>
                <w:spacing w:val="0"/>
                <w:sz w:val="16"/>
                <w:szCs w:val="16"/>
              </w:rPr>
              <w:t>分。</w:t>
            </w:r>
          </w:p>
          <w:p w14:paraId="7CB9397F">
            <w:pPr>
              <w:keepNext w:val="0"/>
              <w:keepLines w:val="0"/>
              <w:pageBreakBefore w:val="0"/>
              <w:widowControl/>
              <w:kinsoku/>
              <w:wordWrap/>
              <w:overflowPunct/>
              <w:topLinePunct w:val="0"/>
              <w:autoSpaceDE/>
              <w:autoSpaceDN/>
              <w:bidi w:val="0"/>
              <w:adjustRightInd/>
              <w:snapToGrid/>
              <w:spacing w:line="300" w:lineRule="exact"/>
              <w:textAlignment w:val="auto"/>
              <w:rPr>
                <w:rFonts w:asciiTheme="minorEastAsia" w:hAnsiTheme="minorEastAsia" w:eastAsiaTheme="minorEastAsia" w:cstheme="minorEastAsia"/>
                <w:b w:val="0"/>
                <w:color w:val="000000"/>
                <w:spacing w:val="0"/>
                <w:sz w:val="18"/>
                <w:szCs w:val="18"/>
              </w:rPr>
            </w:pPr>
            <w:r>
              <w:rPr>
                <w:rFonts w:hint="eastAsia" w:asciiTheme="majorEastAsia" w:hAnsiTheme="majorEastAsia" w:eastAsiaTheme="majorEastAsia" w:cstheme="majorEastAsia"/>
                <w:b w:val="0"/>
                <w:color w:val="000000"/>
                <w:spacing w:val="0"/>
                <w:sz w:val="16"/>
                <w:szCs w:val="16"/>
                <w:lang w:val="en-US" w:eastAsia="zh-CN"/>
              </w:rPr>
              <w:t>2.</w:t>
            </w:r>
            <w:r>
              <w:rPr>
                <w:rFonts w:hint="eastAsia" w:asciiTheme="majorEastAsia" w:hAnsiTheme="majorEastAsia" w:eastAsiaTheme="majorEastAsia" w:cstheme="majorEastAsia"/>
                <w:b w:val="0"/>
                <w:color w:val="000000"/>
                <w:spacing w:val="0"/>
                <w:sz w:val="16"/>
                <w:szCs w:val="16"/>
              </w:rPr>
              <w:t>各项累加不超过</w:t>
            </w:r>
            <w:r>
              <w:rPr>
                <w:rFonts w:hint="eastAsia" w:asciiTheme="majorEastAsia" w:hAnsiTheme="majorEastAsia" w:eastAsiaTheme="majorEastAsia" w:cstheme="majorEastAsia"/>
                <w:b w:val="0"/>
                <w:color w:val="000000"/>
                <w:spacing w:val="0"/>
                <w:sz w:val="16"/>
                <w:szCs w:val="16"/>
                <w:lang w:val="en-US" w:eastAsia="zh-CN"/>
              </w:rPr>
              <w:t>10</w:t>
            </w:r>
            <w:r>
              <w:rPr>
                <w:rFonts w:hint="eastAsia" w:asciiTheme="majorEastAsia" w:hAnsiTheme="majorEastAsia" w:eastAsiaTheme="majorEastAsia" w:cstheme="majorEastAsia"/>
                <w:b w:val="0"/>
                <w:color w:val="000000"/>
                <w:spacing w:val="0"/>
                <w:sz w:val="16"/>
                <w:szCs w:val="16"/>
              </w:rPr>
              <w:t>分。</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32DBEA70">
            <w:pPr>
              <w:widowControl/>
              <w:jc w:val="center"/>
              <w:rPr>
                <w:rFonts w:hint="default" w:eastAsia="宋体" w:cs="宋体"/>
                <w:b w:val="0"/>
                <w:color w:val="000000"/>
                <w:spacing w:val="0"/>
                <w:sz w:val="24"/>
                <w:szCs w:val="24"/>
                <w:lang w:val="en-US" w:eastAsia="zh-CN"/>
              </w:rPr>
            </w:pPr>
            <w:r>
              <w:rPr>
                <w:rFonts w:hint="eastAsia" w:cs="宋体"/>
                <w:b w:val="0"/>
                <w:color w:val="000000"/>
                <w:spacing w:val="0"/>
                <w:sz w:val="24"/>
                <w:szCs w:val="24"/>
                <w:lang w:val="en-US" w:eastAsia="zh-CN"/>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A0BB42">
            <w:pPr>
              <w:widowControl/>
              <w:spacing w:line="240" w:lineRule="exact"/>
              <w:jc w:val="center"/>
              <w:rPr>
                <w:rFonts w:cs="宋体"/>
                <w:b w:val="0"/>
                <w:color w:val="FF0000"/>
                <w:spacing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677822">
            <w:pPr>
              <w:widowControl/>
              <w:spacing w:line="240" w:lineRule="exact"/>
              <w:jc w:val="center"/>
              <w:rPr>
                <w:rFonts w:cs="宋体"/>
                <w:b w:val="0"/>
                <w:color w:val="FF0000"/>
                <w:spacing w:val="0"/>
                <w:sz w:val="21"/>
                <w:szCs w:val="21"/>
              </w:rPr>
            </w:pPr>
          </w:p>
        </w:tc>
      </w:tr>
    </w:tbl>
    <w:p w14:paraId="0BBB3B44">
      <w:pPr>
        <w:keepNext w:val="0"/>
        <w:keepLines w:val="0"/>
        <w:pageBreakBefore w:val="0"/>
        <w:kinsoku/>
        <w:wordWrap/>
        <w:overflowPunct/>
        <w:topLinePunct w:val="0"/>
        <w:autoSpaceDE/>
        <w:autoSpaceDN/>
        <w:bidi w:val="0"/>
        <w:adjustRightInd/>
        <w:snapToGrid/>
        <w:spacing w:line="260" w:lineRule="exact"/>
        <w:ind w:firstLine="954" w:firstLineChars="500"/>
        <w:textAlignment w:val="auto"/>
        <w:rPr>
          <w:rFonts w:hint="eastAsia" w:ascii="仿宋_GB2312" w:eastAsia="仿宋_GB2312"/>
          <w:b/>
          <w:bCs/>
          <w:sz w:val="21"/>
          <w:szCs w:val="21"/>
          <w:lang w:eastAsia="zh-CN"/>
        </w:rPr>
      </w:pPr>
    </w:p>
    <w:p w14:paraId="5FFA621B">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
          <w:bCs/>
          <w:sz w:val="21"/>
          <w:szCs w:val="21"/>
        </w:rPr>
      </w:pPr>
      <w:r>
        <w:rPr>
          <w:rFonts w:hint="eastAsia" w:ascii="仿宋_GB2312" w:eastAsia="仿宋_GB2312"/>
          <w:b/>
          <w:bCs/>
          <w:sz w:val="21"/>
          <w:szCs w:val="21"/>
          <w:lang w:eastAsia="zh-CN"/>
        </w:rPr>
        <w:t>身份证号码：</w:t>
      </w:r>
      <w:r>
        <w:rPr>
          <w:rFonts w:hint="eastAsia" w:ascii="仿宋_GB2312" w:eastAsia="仿宋_GB2312"/>
          <w:b/>
          <w:bCs/>
          <w:sz w:val="21"/>
          <w:szCs w:val="21"/>
          <w:lang w:val="en-US" w:eastAsia="zh-CN"/>
        </w:rPr>
        <w:t xml:space="preserve">                                      本人签字：                                   年    月    日</w:t>
      </w:r>
    </w:p>
    <w:p w14:paraId="254D12C9">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
          <w:bCs/>
          <w:sz w:val="21"/>
          <w:szCs w:val="21"/>
          <w:lang w:val="en-US" w:eastAsia="zh-CN"/>
        </w:rPr>
      </w:pPr>
    </w:p>
    <w:p w14:paraId="6D0C6A09">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
          <w:bCs/>
          <w:sz w:val="21"/>
          <w:szCs w:val="21"/>
          <w:lang w:val="en-US" w:eastAsia="zh-CN"/>
        </w:rPr>
      </w:pPr>
      <w:r>
        <w:rPr>
          <w:rFonts w:hint="eastAsia" w:ascii="仿宋_GB2312" w:eastAsia="仿宋_GB2312"/>
          <w:b/>
          <w:bCs/>
          <w:sz w:val="21"/>
          <w:szCs w:val="21"/>
          <w:lang w:val="en-US" w:eastAsia="zh-CN"/>
        </w:rPr>
        <w:t>审核人签字：</w:t>
      </w:r>
    </w:p>
    <w:p w14:paraId="50F54AC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
          <w:bCs/>
          <w:sz w:val="21"/>
          <w:szCs w:val="21"/>
          <w:lang w:val="en-US" w:eastAsia="zh-CN"/>
        </w:rPr>
      </w:pPr>
    </w:p>
    <w:p w14:paraId="20F47776">
      <w:pPr>
        <w:spacing w:line="600" w:lineRule="exact"/>
        <w:jc w:val="center"/>
        <w:rPr>
          <w:rFonts w:hint="eastAsia" w:ascii="微软雅黑" w:hAnsi="黑体" w:eastAsia="微软雅黑"/>
          <w:b w:val="0"/>
          <w:bCs/>
          <w:sz w:val="44"/>
          <w:szCs w:val="44"/>
        </w:rPr>
      </w:pPr>
      <w:r>
        <w:rPr>
          <w:rFonts w:hint="eastAsia" w:ascii="微软雅黑" w:hAnsi="黑体" w:eastAsia="微软雅黑"/>
          <w:b w:val="0"/>
          <w:bCs/>
          <w:sz w:val="44"/>
          <w:szCs w:val="44"/>
          <w:lang w:val="en-US" w:eastAsia="zh-CN"/>
        </w:rPr>
        <w:t>奈曼旗</w:t>
      </w:r>
      <w:r>
        <w:rPr>
          <w:rFonts w:hint="eastAsia" w:ascii="微软雅黑" w:hAnsi="黑体" w:eastAsia="微软雅黑"/>
          <w:b w:val="0"/>
          <w:bCs/>
          <w:sz w:val="44"/>
          <w:szCs w:val="44"/>
          <w:lang w:eastAsia="zh-CN"/>
        </w:rPr>
        <w:t>事业单位</w:t>
      </w:r>
      <w:r>
        <w:rPr>
          <w:rFonts w:hint="eastAsia" w:ascii="微软雅黑" w:hAnsi="黑体" w:eastAsia="微软雅黑"/>
          <w:b w:val="0"/>
          <w:bCs/>
          <w:sz w:val="44"/>
          <w:szCs w:val="44"/>
        </w:rPr>
        <w:t>人才引进</w:t>
      </w:r>
    </w:p>
    <w:p w14:paraId="397CE5A7">
      <w:pPr>
        <w:spacing w:line="600" w:lineRule="exact"/>
        <w:jc w:val="center"/>
        <w:rPr>
          <w:rFonts w:ascii="微软雅黑" w:hAnsi="黑体" w:eastAsia="微软雅黑"/>
          <w:b w:val="0"/>
          <w:bCs/>
          <w:sz w:val="44"/>
          <w:szCs w:val="44"/>
        </w:rPr>
      </w:pPr>
      <w:r>
        <w:rPr>
          <w:rFonts w:hint="eastAsia" w:ascii="微软雅黑" w:hAnsi="黑体" w:eastAsia="微软雅黑"/>
          <w:b w:val="0"/>
          <w:bCs/>
          <w:sz w:val="44"/>
          <w:szCs w:val="44"/>
        </w:rPr>
        <w:t>评价表填报说明</w:t>
      </w:r>
    </w:p>
    <w:p w14:paraId="54FD0FC0">
      <w:pPr>
        <w:spacing w:line="560" w:lineRule="exact"/>
        <w:ind w:firstLine="600" w:firstLineChars="200"/>
        <w:rPr>
          <w:rFonts w:ascii="黑体" w:hAnsi="黑体" w:eastAsia="黑体" w:cs="黑体"/>
          <w:b w:val="0"/>
          <w:bCs/>
          <w:sz w:val="32"/>
          <w:szCs w:val="32"/>
        </w:rPr>
      </w:pPr>
    </w:p>
    <w:p w14:paraId="528A4A8D">
      <w:pPr>
        <w:spacing w:line="560" w:lineRule="exact"/>
        <w:ind w:firstLine="600" w:firstLineChars="200"/>
        <w:rPr>
          <w:rFonts w:ascii="黑体" w:hAnsi="黑体" w:eastAsia="黑体" w:cs="黑体"/>
          <w:b w:val="0"/>
          <w:bCs/>
          <w:sz w:val="32"/>
          <w:szCs w:val="32"/>
        </w:rPr>
      </w:pPr>
      <w:r>
        <w:rPr>
          <w:rFonts w:ascii="黑体" w:hAnsi="黑体" w:eastAsia="黑体" w:cs="黑体"/>
          <w:b w:val="0"/>
          <w:bCs/>
          <w:sz w:val="32"/>
          <w:szCs w:val="32"/>
        </w:rPr>
        <w:t>一、专业层次方面</w:t>
      </w:r>
    </w:p>
    <w:p w14:paraId="116F87F4">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（一</w:t>
      </w:r>
      <w:r>
        <w:rPr>
          <w:rFonts w:hint="eastAsia" w:ascii="Times New Roman" w:hAnsi="Times New Roman" w:eastAsia="方正仿宋_GB2312" w:cs="Times New Roman"/>
          <w:b w:val="0"/>
          <w:bCs/>
          <w:sz w:val="32"/>
          <w:szCs w:val="32"/>
          <w:lang w:eastAsia="zh-CN"/>
        </w:rPr>
        <w:t>）</w:t>
      </w:r>
      <w:r>
        <w:rPr>
          <w:rFonts w:hint="eastAsia" w:ascii="Times New Roman" w:hAnsi="Times New Roman" w:eastAsia="方正仿宋_GB2312" w:cs="Times New Roman"/>
          <w:b w:val="0"/>
          <w:bCs/>
          <w:sz w:val="32"/>
          <w:szCs w:val="32"/>
          <w:lang w:val="en-US" w:eastAsia="zh-CN"/>
        </w:rPr>
        <w:t>一流</w:t>
      </w:r>
      <w:r>
        <w:rPr>
          <w:rFonts w:ascii="Times New Roman" w:hAnsi="Times New Roman" w:eastAsia="方正仿宋_GB2312" w:cs="Times New Roman"/>
          <w:b w:val="0"/>
          <w:bCs/>
          <w:sz w:val="32"/>
          <w:szCs w:val="32"/>
        </w:rPr>
        <w:t>高校和一流学科目录，以《教育部、财政部、国家发展改革委关于公布世界一流大学和一流学科建设高校及建设学科名单的通知》（教研函〔2017〕2号）《教育部、财政部、国家发展改革委关于公布第二轮“双一流”建设高校及建设学科名单的通知》（教研函〔2022〕1号）为准。</w:t>
      </w:r>
    </w:p>
    <w:p w14:paraId="562BAD5E">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（二）在一流学科认定上，所学专业须属该学科内专业。</w:t>
      </w:r>
    </w:p>
    <w:p w14:paraId="472A6A42">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（三）海外学历学校排名以2022、2023年度世界综合排名（《QS世界大学排名》、上海软科世界大学排名、泰晤士报《全球顶尖大学排行榜》、U.S.News《全球最佳大学排行榜》之一）为准。</w:t>
      </w:r>
    </w:p>
    <w:p w14:paraId="5DF85A07">
      <w:pPr>
        <w:spacing w:line="560" w:lineRule="exact"/>
        <w:ind w:firstLine="600" w:firstLineChars="200"/>
        <w:rPr>
          <w:rFonts w:ascii="黑体" w:hAnsi="黑体" w:eastAsia="黑体" w:cs="黑体"/>
          <w:b w:val="0"/>
          <w:bCs/>
          <w:sz w:val="32"/>
          <w:szCs w:val="32"/>
        </w:rPr>
      </w:pPr>
      <w:r>
        <w:rPr>
          <w:rFonts w:ascii="黑体" w:hAnsi="黑体" w:eastAsia="黑体" w:cs="黑体"/>
          <w:b w:val="0"/>
          <w:bCs/>
          <w:sz w:val="32"/>
          <w:szCs w:val="32"/>
        </w:rPr>
        <w:t>二、科研成果方面</w:t>
      </w:r>
    </w:p>
    <w:p w14:paraId="4DD2A594">
      <w:pPr>
        <w:spacing w:line="560" w:lineRule="exact"/>
        <w:ind w:firstLine="600" w:firstLineChars="200"/>
        <w:rPr>
          <w:rFonts w:ascii="Times New Roman" w:hAnsi="Times New Roman" w:eastAsia="方正仿宋_GB2312" w:cs="Times New Roman"/>
          <w:b w:val="0"/>
          <w:bCs/>
          <w:sz w:val="32"/>
          <w:szCs w:val="32"/>
        </w:rPr>
      </w:pPr>
      <w:r>
        <w:rPr>
          <w:rFonts w:hint="eastAsia" w:ascii="Times New Roman" w:hAnsi="Times New Roman" w:eastAsia="方正仿宋_GB2312" w:cs="Times New Roman"/>
          <w:b w:val="0"/>
          <w:bCs/>
          <w:sz w:val="32"/>
          <w:szCs w:val="32"/>
        </w:rPr>
        <w:t>论文</w:t>
      </w:r>
      <w:r>
        <w:rPr>
          <w:rFonts w:ascii="Times New Roman" w:hAnsi="Times New Roman" w:eastAsia="方正仿宋_GB2312" w:cs="Times New Roman"/>
          <w:b w:val="0"/>
          <w:bCs/>
          <w:sz w:val="32"/>
          <w:szCs w:val="32"/>
        </w:rPr>
        <w:t>需提供检索报告、扫描文本</w:t>
      </w:r>
      <w:r>
        <w:rPr>
          <w:rFonts w:hint="eastAsia" w:ascii="Times New Roman" w:hAnsi="Times New Roman" w:eastAsia="方正仿宋_GB2312" w:cs="Times New Roman"/>
          <w:b w:val="0"/>
          <w:bCs/>
          <w:sz w:val="32"/>
          <w:szCs w:val="32"/>
        </w:rPr>
        <w:t>等材料，SCI、SSCI分区以中科院年度分区为准，独立或通讯第一作者，并列第一作者降一档计分，非第一作者或并列第二顺序以后通讯作者不计分，首次报道类文章不作为学术论文计分；发明专利需提供</w:t>
      </w:r>
      <w:r>
        <w:rPr>
          <w:rFonts w:ascii="Times New Roman" w:hAnsi="Times New Roman" w:eastAsia="方正仿宋_GB2312" w:cs="Times New Roman"/>
          <w:b w:val="0"/>
          <w:bCs/>
          <w:sz w:val="32"/>
          <w:szCs w:val="32"/>
        </w:rPr>
        <w:t>作品文件、专利证书等材料，实用新型、外观设计专利不得分。</w:t>
      </w:r>
    </w:p>
    <w:p w14:paraId="5E6F82CE">
      <w:pPr>
        <w:spacing w:line="560" w:lineRule="exact"/>
        <w:ind w:firstLine="600" w:firstLineChars="200"/>
        <w:rPr>
          <w:rFonts w:ascii="黑体" w:hAnsi="黑体" w:eastAsia="黑体" w:cs="黑体"/>
          <w:b w:val="0"/>
          <w:bCs/>
          <w:sz w:val="32"/>
          <w:szCs w:val="32"/>
        </w:rPr>
      </w:pPr>
      <w:r>
        <w:rPr>
          <w:rFonts w:hint="eastAsia" w:ascii="黑体" w:hAnsi="黑体" w:eastAsia="黑体" w:cs="黑体"/>
          <w:b w:val="0"/>
          <w:bCs/>
          <w:sz w:val="32"/>
          <w:szCs w:val="32"/>
        </w:rPr>
        <w:t>三、职业资格方面</w:t>
      </w:r>
    </w:p>
    <w:p w14:paraId="77CFE7FA">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（一）需提供职业资格证原件及复印件，并可在职业技能证书全国联网查询系统中查询。</w:t>
      </w:r>
    </w:p>
    <w:p w14:paraId="16AB3CE8">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（二）可按照级别划分的准入类专业技术人员职业资格，如：取得法律职业资格A证得5分。</w:t>
      </w:r>
    </w:p>
    <w:p w14:paraId="1C3C7957">
      <w:pPr>
        <w:spacing w:line="54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（三）关于专业技术人员职业资格及职业资格与职称对应关系认定以《国家职业资格目录》及内蒙古自治区人社厅《2020年关于更新公布专业技术类职业资格与职称对应关系表的说明》为准。</w:t>
      </w:r>
    </w:p>
    <w:p w14:paraId="6FF397A8">
      <w:pPr>
        <w:spacing w:line="54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可对应至中级职称的专业技术类职业资格为：房地产估价师、一级造价工程师、执业药师、注册安全工程师、注册核安全工程师、一级注册计量师、注册测绘师、一级注册消防工程师、注册城乡规划师（原注册城市规划师）、注册公用设备工程师、注册电气工程师、注册化工工程师、注册土木工程师(港航)、注册土木工程师(岩土)、注册土木工程师(水利水电)、注册土木工程师(道路工程)、注册石油天然气工程师、注册冶金工程师、注册采矿/矿物工程师、注册机械工程师、注册环保工程师、一级注册结构工程师、一级注册建筑师、一级注册建造师、监理工程师、注册设备监理师、注册会计师、编辑（技术编辑或一级校对）、二级口译、笔译翻译、计算机软件与技术（中级工程师、高级工程师）、环境影响评价工程师、通信工程师、机动车检测维修工程师、社会工作师、房地产经纪（原房地产经纪人）、公路水运工程试验检测师、银行业专业人员（中级）、工程咨询(投资)、矿业权评估师、土地登记代理（原土地登记代理人）、税务师（原注册税务师）、资产评估师（含珠宝专业）、会计师、审计师、统计师、经济师、主治（管）医师、主管药师、主管技师、主管护师。</w:t>
      </w:r>
    </w:p>
    <w:p w14:paraId="6EEEBFF4">
      <w:pPr>
        <w:spacing w:line="560" w:lineRule="exact"/>
        <w:ind w:firstLine="600" w:firstLineChars="200"/>
        <w:rPr>
          <w:rFonts w:ascii="黑体" w:hAnsi="黑体" w:eastAsia="黑体" w:cs="黑体"/>
          <w:b w:val="0"/>
          <w:bCs/>
          <w:sz w:val="32"/>
          <w:szCs w:val="32"/>
        </w:rPr>
      </w:pPr>
      <w:r>
        <w:rPr>
          <w:rFonts w:hint="eastAsia" w:ascii="黑体" w:hAnsi="黑体" w:eastAsia="黑体" w:cs="黑体"/>
          <w:b w:val="0"/>
          <w:bCs/>
          <w:sz w:val="32"/>
          <w:szCs w:val="32"/>
        </w:rPr>
        <w:t>四、专业技术职称方面</w:t>
      </w:r>
    </w:p>
    <w:p w14:paraId="1B82DAA2">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（一）要求为社会化专业技术职称。</w:t>
      </w:r>
    </w:p>
    <w:p w14:paraId="0D950D3A">
      <w:pPr>
        <w:spacing w:line="560" w:lineRule="exact"/>
        <w:ind w:firstLine="600" w:firstLineChars="200"/>
        <w:rPr>
          <w:rFonts w:ascii="黑体" w:hAnsi="黑体" w:eastAsia="黑体" w:cs="黑体"/>
          <w:b w:val="0"/>
          <w:bCs/>
          <w:sz w:val="32"/>
          <w:szCs w:val="32"/>
        </w:rPr>
      </w:pPr>
      <w:r>
        <w:rPr>
          <w:rFonts w:ascii="Times New Roman" w:hAnsi="Times New Roman" w:eastAsia="方正仿宋_GB2312" w:cs="Times New Roman"/>
          <w:b w:val="0"/>
          <w:bCs/>
          <w:sz w:val="32"/>
          <w:szCs w:val="32"/>
        </w:rPr>
        <w:t>（二）需提供职称证，并可在相应查询系统中查询。</w:t>
      </w:r>
    </w:p>
    <w:p w14:paraId="5FB1DB5C">
      <w:pPr>
        <w:spacing w:line="540" w:lineRule="exact"/>
        <w:ind w:firstLine="600" w:firstLineChars="200"/>
        <w:rPr>
          <w:rFonts w:ascii="黑体" w:hAnsi="黑体" w:eastAsia="黑体" w:cs="黑体"/>
          <w:b w:val="0"/>
          <w:bCs/>
          <w:sz w:val="32"/>
          <w:szCs w:val="32"/>
        </w:rPr>
      </w:pPr>
      <w:r>
        <w:rPr>
          <w:rFonts w:hint="eastAsia" w:ascii="黑体" w:hAnsi="黑体" w:eastAsia="黑体" w:cs="黑体"/>
          <w:b w:val="0"/>
          <w:bCs/>
          <w:sz w:val="32"/>
          <w:szCs w:val="32"/>
        </w:rPr>
        <w:t>五、获得奖项方面</w:t>
      </w:r>
    </w:p>
    <w:p w14:paraId="5617A754">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 xml:space="preserve">（一）荣誉等级认定上以颁发、授予单位的级别为准，以表彰文件、表彰证书、获奖证书、荣誉证书等用章单位作为认定依据。国家级指党中央、国务院授予或颁发的荣誉，省级指中央和国家机关部委及省（自治区、直辖市）党委、政府授予或颁发的荣誉，市级指市党委、政府授予或颁发的荣誉。国家级荣誉中：国家自然科学奖、国家技术发明奖、国家科技进步奖特等奖、国家科技进步奖获得者应为前5位完成人；省级荣誉中：省级科学技术特别贡献奖、自然科学奖、技术发明奖、科学技术进步奖、青年科学技术创新奖应为前3位完成人。 </w:t>
      </w:r>
    </w:p>
    <w:p w14:paraId="0E97452E">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（二）学校授予的荣誉不计算得分</w:t>
      </w:r>
      <w:r>
        <w:rPr>
          <w:rFonts w:hint="eastAsia" w:ascii="Times New Roman" w:hAnsi="Times New Roman" w:eastAsia="方正仿宋_GB2312" w:cs="Times New Roman"/>
          <w:b w:val="0"/>
          <w:bCs/>
          <w:sz w:val="32"/>
          <w:szCs w:val="32"/>
        </w:rPr>
        <w:t>，在校期间获得的各类奖学金不计算得分。</w:t>
      </w:r>
    </w:p>
    <w:p w14:paraId="75C52826">
      <w:pPr>
        <w:spacing w:line="560" w:lineRule="exact"/>
        <w:ind w:firstLine="600" w:firstLineChars="200"/>
        <w:rPr>
          <w:rFonts w:ascii="Times New Roman" w:hAnsi="Times New Roman" w:eastAsia="方正仿宋_GB2312" w:cs="Times New Roman"/>
          <w:b w:val="0"/>
          <w:bCs/>
          <w:sz w:val="32"/>
          <w:szCs w:val="32"/>
        </w:rPr>
      </w:pPr>
      <w:r>
        <w:rPr>
          <w:rFonts w:ascii="Times New Roman" w:hAnsi="Times New Roman" w:eastAsia="方正仿宋_GB2312" w:cs="Times New Roman"/>
          <w:b w:val="0"/>
          <w:bCs/>
          <w:sz w:val="32"/>
          <w:szCs w:val="32"/>
        </w:rPr>
        <w:t>（三）各类协会、社会组织、组委会发放证书的不加分。</w:t>
      </w:r>
    </w:p>
    <w:p w14:paraId="1E5B2FED">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 w:val="0"/>
          <w:bCs/>
          <w:sz w:val="21"/>
          <w:szCs w:val="21"/>
          <w:lang w:val="en-US" w:eastAsia="zh-CN"/>
        </w:rPr>
      </w:pPr>
    </w:p>
    <w:p w14:paraId="463EB2DA">
      <w:pPr>
        <w:spacing w:line="540" w:lineRule="exact"/>
        <w:ind w:firstLine="60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其他</w:t>
      </w:r>
    </w:p>
    <w:p w14:paraId="2BF5B0CE">
      <w:pPr>
        <w:spacing w:line="560" w:lineRule="exact"/>
        <w:ind w:firstLine="600" w:firstLineChars="200"/>
        <w:rPr>
          <w:rFonts w:hint="eastAsia" w:ascii="Times New Roman" w:hAnsi="Times New Roman" w:eastAsia="方正仿宋_GB2312" w:cs="Times New Roman"/>
          <w:b w:val="0"/>
          <w:bCs/>
          <w:sz w:val="32"/>
          <w:szCs w:val="32"/>
          <w:lang w:val="en-US" w:eastAsia="zh-CN"/>
        </w:rPr>
      </w:pPr>
      <w:r>
        <w:rPr>
          <w:rFonts w:hint="eastAsia" w:ascii="Times New Roman" w:hAnsi="Times New Roman" w:eastAsia="方正仿宋_GB2312" w:cs="Times New Roman"/>
          <w:b w:val="0"/>
          <w:bCs/>
          <w:sz w:val="32"/>
          <w:szCs w:val="32"/>
          <w:lang w:val="en-US" w:eastAsia="zh-CN"/>
        </w:rPr>
        <w:t>1.特殊人才: SCI、SSCI一区检索超过2篇（含）、二区检索超过3篇（含）、三区检索超过5篇（含）者，人才评价按满分计算（100分），须为第一作者，不含并列第一作者。</w:t>
      </w:r>
    </w:p>
    <w:p w14:paraId="70DA6D76">
      <w:pPr>
        <w:spacing w:line="560" w:lineRule="exact"/>
        <w:ind w:firstLine="600" w:firstLineChars="200"/>
        <w:rPr>
          <w:rFonts w:hint="eastAsia" w:ascii="Times New Roman" w:hAnsi="Times New Roman" w:eastAsia="方正仿宋_GB2312" w:cs="Times New Roman"/>
          <w:b w:val="0"/>
          <w:bCs/>
          <w:sz w:val="32"/>
          <w:szCs w:val="32"/>
          <w:lang w:val="en-US" w:eastAsia="zh-CN"/>
        </w:rPr>
      </w:pPr>
      <w:r>
        <w:rPr>
          <w:rFonts w:hint="eastAsia" w:ascii="Times New Roman" w:hAnsi="Times New Roman" w:eastAsia="方正仿宋_GB2312" w:cs="Times New Roman"/>
          <w:b w:val="0"/>
          <w:bCs/>
          <w:sz w:val="32"/>
          <w:szCs w:val="32"/>
          <w:lang w:val="en-US" w:eastAsia="zh-CN"/>
        </w:rPr>
        <w:t>2.获得国家级荣誉3项（含）以上者，人才评价按满分计算（100分）。</w:t>
      </w:r>
    </w:p>
    <w:p w14:paraId="12D4275D">
      <w:pPr>
        <w:spacing w:line="560" w:lineRule="exact"/>
        <w:ind w:firstLine="600" w:firstLineChars="200"/>
        <w:rPr>
          <w:rFonts w:hint="eastAsia" w:ascii="Times New Roman" w:hAnsi="Times New Roman" w:eastAsia="方正仿宋_GB2312" w:cs="Times New Roman"/>
          <w:b w:val="0"/>
          <w:bCs/>
          <w:sz w:val="32"/>
          <w:szCs w:val="32"/>
          <w:lang w:val="en-US" w:eastAsia="zh-CN"/>
        </w:rPr>
      </w:pPr>
      <w:r>
        <w:rPr>
          <w:rFonts w:hint="eastAsia" w:ascii="Times New Roman" w:hAnsi="Times New Roman" w:eastAsia="方正仿宋_GB2312" w:cs="Times New Roman"/>
          <w:b w:val="0"/>
          <w:bCs/>
          <w:sz w:val="32"/>
          <w:szCs w:val="32"/>
          <w:lang w:val="en-US" w:eastAsia="zh-CN"/>
        </w:rPr>
        <w:t>3.符合条件的博士研究生报名直接进入体检、考察环节。</w:t>
      </w:r>
    </w:p>
    <w:p w14:paraId="42F48249">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
          <w:bCs/>
          <w:sz w:val="21"/>
          <w:szCs w:val="21"/>
          <w:lang w:val="en-US" w:eastAsia="zh-CN"/>
        </w:rPr>
      </w:pPr>
    </w:p>
    <w:sectPr>
      <w:pgSz w:w="11906" w:h="16838"/>
      <w:pgMar w:top="1020" w:right="850" w:bottom="102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DA1151-3FFA-4ACA-A611-E856695709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461A300-7B26-48DF-8C77-3F7A9E293D34}"/>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6E9E29EF-1A79-4CFD-896A-07506EF78C73}"/>
  </w:font>
  <w:font w:name="楷体">
    <w:panose1 w:val="02010609060101010101"/>
    <w:charset w:val="86"/>
    <w:family w:val="modern"/>
    <w:pitch w:val="default"/>
    <w:sig w:usb0="800002BF" w:usb1="38CF7CFA" w:usb2="00000016" w:usb3="00000000" w:csb0="00040001" w:csb1="00000000"/>
    <w:embedRegular r:id="rId4" w:fontKey="{DDC13E84-DBD0-497C-9142-1315F0396B7D}"/>
  </w:font>
  <w:font w:name="仿宋_GB2312">
    <w:panose1 w:val="02010609030101010101"/>
    <w:charset w:val="86"/>
    <w:family w:val="modern"/>
    <w:pitch w:val="default"/>
    <w:sig w:usb0="00000001" w:usb1="080E0000" w:usb2="00000000" w:usb3="00000000" w:csb0="00040000" w:csb1="00000000"/>
    <w:embedRegular r:id="rId5" w:fontKey="{EE278A9F-2F2C-412C-A798-34DB52C836C6}"/>
  </w:font>
  <w:font w:name="方正仿宋_GB2312">
    <w:panose1 w:val="02000000000000000000"/>
    <w:charset w:val="86"/>
    <w:family w:val="auto"/>
    <w:pitch w:val="default"/>
    <w:sig w:usb0="A00002BF" w:usb1="184F6CFA" w:usb2="00000012" w:usb3="00000000" w:csb0="00040001" w:csb1="00000000"/>
    <w:embedRegular r:id="rId6" w:fontKey="{73598441-97FC-4AF5-95B8-C5A197D0BAD9}"/>
  </w:font>
  <w:font w:name="微软雅黑">
    <w:panose1 w:val="020B0503020204020204"/>
    <w:charset w:val="86"/>
    <w:family w:val="auto"/>
    <w:pitch w:val="default"/>
    <w:sig w:usb0="80000287" w:usb1="2ACF3C50" w:usb2="00000016" w:usb3="00000000" w:csb0="0004001F" w:csb1="00000000"/>
    <w:embedRegular r:id="rId7" w:fontKey="{2FD95AD4-9226-4487-8567-7CE4CF304E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NTU5YWQ5NmMwNDQ1NmYzY2VhMzc3NjMxNWI2YTcifQ=="/>
  </w:docVars>
  <w:rsids>
    <w:rsidRoot w:val="464025A8"/>
    <w:rsid w:val="003357D8"/>
    <w:rsid w:val="036C46DD"/>
    <w:rsid w:val="03FB660C"/>
    <w:rsid w:val="072B07F8"/>
    <w:rsid w:val="077C0992"/>
    <w:rsid w:val="07DF5D77"/>
    <w:rsid w:val="08AF4730"/>
    <w:rsid w:val="08F5187C"/>
    <w:rsid w:val="092B6B72"/>
    <w:rsid w:val="0B57681E"/>
    <w:rsid w:val="0BDA11FD"/>
    <w:rsid w:val="0C353F27"/>
    <w:rsid w:val="0C637E48"/>
    <w:rsid w:val="0E902987"/>
    <w:rsid w:val="12157C38"/>
    <w:rsid w:val="12397985"/>
    <w:rsid w:val="126A28E6"/>
    <w:rsid w:val="128F377D"/>
    <w:rsid w:val="148461AA"/>
    <w:rsid w:val="16675E44"/>
    <w:rsid w:val="180E0AE8"/>
    <w:rsid w:val="18A961DF"/>
    <w:rsid w:val="1A3472F1"/>
    <w:rsid w:val="1A8C739D"/>
    <w:rsid w:val="1E103821"/>
    <w:rsid w:val="1FDF3FD0"/>
    <w:rsid w:val="20B804FA"/>
    <w:rsid w:val="21ED1832"/>
    <w:rsid w:val="22DF1DC6"/>
    <w:rsid w:val="24636B05"/>
    <w:rsid w:val="26467763"/>
    <w:rsid w:val="27AE3812"/>
    <w:rsid w:val="2A397F0C"/>
    <w:rsid w:val="2AFE2018"/>
    <w:rsid w:val="2B342280"/>
    <w:rsid w:val="2D8C63A3"/>
    <w:rsid w:val="305D68FB"/>
    <w:rsid w:val="31393666"/>
    <w:rsid w:val="3340656A"/>
    <w:rsid w:val="33B7010D"/>
    <w:rsid w:val="3538296D"/>
    <w:rsid w:val="35643762"/>
    <w:rsid w:val="35EF5721"/>
    <w:rsid w:val="36211653"/>
    <w:rsid w:val="36AC716F"/>
    <w:rsid w:val="36CF7301"/>
    <w:rsid w:val="36F07826"/>
    <w:rsid w:val="372129BA"/>
    <w:rsid w:val="395B509B"/>
    <w:rsid w:val="3ACF5B21"/>
    <w:rsid w:val="3B7F30A4"/>
    <w:rsid w:val="3CAE211E"/>
    <w:rsid w:val="3CE15365"/>
    <w:rsid w:val="3E622809"/>
    <w:rsid w:val="42081788"/>
    <w:rsid w:val="45D67D64"/>
    <w:rsid w:val="45EE1552"/>
    <w:rsid w:val="464025A8"/>
    <w:rsid w:val="46D33015"/>
    <w:rsid w:val="47C05C47"/>
    <w:rsid w:val="499D44A3"/>
    <w:rsid w:val="4AB54B17"/>
    <w:rsid w:val="4AF45637"/>
    <w:rsid w:val="4CA801AB"/>
    <w:rsid w:val="4E16224E"/>
    <w:rsid w:val="4E437F61"/>
    <w:rsid w:val="4FC275AB"/>
    <w:rsid w:val="4FFA0AF3"/>
    <w:rsid w:val="517D19DC"/>
    <w:rsid w:val="54F47C8D"/>
    <w:rsid w:val="54FF095A"/>
    <w:rsid w:val="565F7902"/>
    <w:rsid w:val="57BD2205"/>
    <w:rsid w:val="5809221B"/>
    <w:rsid w:val="584A3D01"/>
    <w:rsid w:val="59D61361"/>
    <w:rsid w:val="5A960771"/>
    <w:rsid w:val="5B6426C5"/>
    <w:rsid w:val="5CC46711"/>
    <w:rsid w:val="5CED3EB9"/>
    <w:rsid w:val="5D1C1DBA"/>
    <w:rsid w:val="5E421FE3"/>
    <w:rsid w:val="5E9A1E1F"/>
    <w:rsid w:val="5ED85CC4"/>
    <w:rsid w:val="5EDAEB65"/>
    <w:rsid w:val="5F761860"/>
    <w:rsid w:val="60480E48"/>
    <w:rsid w:val="613C540F"/>
    <w:rsid w:val="61F26C21"/>
    <w:rsid w:val="622B2AF0"/>
    <w:rsid w:val="635A7DCF"/>
    <w:rsid w:val="639530AB"/>
    <w:rsid w:val="64A05CB5"/>
    <w:rsid w:val="65E8460B"/>
    <w:rsid w:val="68DD68DF"/>
    <w:rsid w:val="6942558D"/>
    <w:rsid w:val="69BD6B97"/>
    <w:rsid w:val="6E865F1C"/>
    <w:rsid w:val="6EAC488C"/>
    <w:rsid w:val="6EBC193D"/>
    <w:rsid w:val="6F235519"/>
    <w:rsid w:val="6F9B1553"/>
    <w:rsid w:val="705D5574"/>
    <w:rsid w:val="719F5042"/>
    <w:rsid w:val="753D5CE9"/>
    <w:rsid w:val="76375D4D"/>
    <w:rsid w:val="78542BE7"/>
    <w:rsid w:val="786C1451"/>
    <w:rsid w:val="78D855C6"/>
    <w:rsid w:val="79500AB3"/>
    <w:rsid w:val="7A0B3779"/>
    <w:rsid w:val="7E727A8B"/>
    <w:rsid w:val="7F1C3D32"/>
    <w:rsid w:val="7FCA0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b/>
      <w:spacing w:val="-10"/>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2462</Words>
  <Characters>2581</Characters>
  <Lines>0</Lines>
  <Paragraphs>0</Paragraphs>
  <TotalTime>61</TotalTime>
  <ScaleCrop>false</ScaleCrop>
  <LinksUpToDate>false</LinksUpToDate>
  <CharactersWithSpaces>2725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2024-07-22T11:50:00Z</dcterms:created>
  <dc:creator>科尔沁区人社局</dc:creator>
  <cp:lastModifiedBy>之者</cp:lastModifiedBy>
  <cp:lastPrinted>2025-07-09T08:39:00Z</cp:lastPrinted>
  <dcterms:modified xsi:type="dcterms:W3CDTF">2025-07-17T02:43:36Z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309BE091054548A79B2941298C83BC2E_13</vt:lpwstr>
  </property>
  <property fmtid="{D5CDD505-2E9C-101B-9397-08002B2CF9AE}" pid="4" name="KSOTemplateDocerSaveRecord">
    <vt:lpwstr>eyJoZGlkIjoiN2ExNTU5YWQ5NmMwNDQ1NmYzY2VhMzc3NjMxNWI2YTciLCJ1c2VySWQiOiI1ODgyMTc3MTIifQ==</vt:lpwstr>
  </property>
</Properties>
</file>