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tbl>
      <w:tblPr>
        <w:tblStyle w:val="3"/>
        <w:tblW w:w="14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06"/>
        <w:gridCol w:w="913"/>
        <w:gridCol w:w="1005"/>
        <w:gridCol w:w="615"/>
        <w:gridCol w:w="1290"/>
        <w:gridCol w:w="675"/>
        <w:gridCol w:w="1288"/>
        <w:gridCol w:w="797"/>
        <w:gridCol w:w="1665"/>
        <w:gridCol w:w="1064"/>
        <w:gridCol w:w="3106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江山市廿八都专职消防队消防员招聘计划表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派驻单位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廿八都镇专职消防队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18-40周岁（198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退伍军人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年龄放宽至45周岁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工作，组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5.5万起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薪酬总额（不包括中餐补贴、差旅费补助、夜餐补贴、单位缴纳的“四险一金”、工会福利、人身意外伤害保险等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3FFF"/>
    <w:rsid w:val="22D47A1A"/>
    <w:rsid w:val="25132FA2"/>
    <w:rsid w:val="56623FFF"/>
    <w:rsid w:val="6698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2024-10-22T01:26:00Z</dcterms:created>
  <dc:creator>1</dc:creator>
  <cp:lastModifiedBy>59°凉白开</cp:lastModifiedBy>
  <dcterms:modified xsi:type="dcterms:W3CDTF">2025-07-18T09:31:39Z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