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附件2：</w:t>
      </w:r>
    </w:p>
    <w:p w14:paraId="5BD68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pacing w:val="0"/>
          <w:sz w:val="36"/>
          <w:szCs w:val="36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6"/>
          <w:szCs w:val="36"/>
          <w:highlight w:val="none"/>
          <w:u w:val="none"/>
        </w:rPr>
        <w:t>选调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校长到城区学校任教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6"/>
          <w:szCs w:val="36"/>
          <w:highlight w:val="none"/>
          <w:u w:val="none"/>
        </w:rPr>
        <w:t>考核内容和计分方法</w:t>
      </w:r>
    </w:p>
    <w:p w14:paraId="1CA01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 w14:paraId="391A4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</w:rPr>
        <w:t>选调条件</w:t>
      </w:r>
    </w:p>
    <w:p w14:paraId="37472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现任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乡镇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中学、中心小学校长，且在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乡镇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学校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累计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任教10年以上，担任校长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书记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三年以上。</w:t>
      </w:r>
    </w:p>
    <w:p w14:paraId="5D7EB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u w:val="none"/>
        </w:rPr>
        <w:t>考核内容和计分方法</w:t>
      </w:r>
    </w:p>
    <w:p w14:paraId="5270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文化考试（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60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分）</w:t>
      </w:r>
    </w:p>
    <w:p w14:paraId="39B8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文化考试主要内容：教育法律法规、教育管理、教育理论等方面。</w:t>
      </w:r>
    </w:p>
    <w:p w14:paraId="5540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资历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分）</w:t>
      </w:r>
    </w:p>
    <w:p w14:paraId="62A40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</w:rPr>
        <w:t>担任校长职务每一学年、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且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</w:rPr>
        <w:t>当年年度考核称职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、合格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</w:rPr>
        <w:t>以上计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</w:rPr>
        <w:t>分。</w:t>
      </w:r>
    </w:p>
    <w:p w14:paraId="2083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担任副校长职务或相当级别职务的每一学年、</w:t>
      </w:r>
      <w:r>
        <w:rPr>
          <w:rFonts w:hint="eastAsia" w:ascii="仿宋" w:hAnsi="仿宋" w:eastAsia="仿宋" w:cs="仿宋"/>
          <w:snapToGrid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当年年度考核称职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、合格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以上计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0.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5分。</w:t>
      </w:r>
    </w:p>
    <w:p w14:paraId="0AE6E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正、副校长职务可合并计分，最高计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0分。</w:t>
      </w:r>
    </w:p>
    <w:p w14:paraId="5826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报名时须由本人提供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县教体局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任命文件。</w:t>
      </w:r>
    </w:p>
    <w:p w14:paraId="17E4B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工作业绩（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分）</w:t>
      </w:r>
    </w:p>
    <w:p w14:paraId="78ED5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近三年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教育教学质量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办学绩效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综合评估（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分，每年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分）</w:t>
      </w:r>
    </w:p>
    <w:p w14:paraId="1B8D2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校长（含主持工作的副校长）按任职学校近三年教育教学质量综合评估得分逐年计分，综合评估全县第一名的单位计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分，其他名次按权重计分。</w:t>
      </w:r>
    </w:p>
    <w:p w14:paraId="32BB1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近三年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学校综治信访维稳工作稳定，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控辍保学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、“三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违治理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”、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规范办学行为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（1分）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有投诉并且调查属实的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不计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u w:val="none"/>
        </w:rPr>
        <w:t>分。</w:t>
      </w:r>
    </w:p>
    <w:p w14:paraId="66A0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0"/>
          <w:sz w:val="32"/>
          <w:szCs w:val="32"/>
          <w:highlight w:val="none"/>
          <w:u w:val="none"/>
        </w:rPr>
        <w:t>获奖（10分）</w:t>
      </w:r>
    </w:p>
    <w:p w14:paraId="702F2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  <w:u w:val="none"/>
        </w:rPr>
        <w:t>单位获奖（7分）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按照国家、省、市、县级综合奖分别计7、6、5、4分，单项折半计分</w:t>
      </w:r>
    </w:p>
    <w:p w14:paraId="39F15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综合奖指：县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以上党委、政府及教育行政部门授予的教育教学质量先进单位。</w:t>
      </w:r>
    </w:p>
    <w:p w14:paraId="40C5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单项奖指：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县级以上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党委、政府及教育行政部门授予的其他荣誉称号。有等次的荣誉称号，第一名计满分，以下名次按10%递减计分。</w:t>
      </w:r>
    </w:p>
    <w:p w14:paraId="0F755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单位获奖分：按近三年（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2021-2022、2022-2023、2023-</w:t>
      </w:r>
    </w:p>
    <w:p w14:paraId="74DD7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学年）单位获奖情况累计计分，最高分超过7分的计7分，其他人员权重计分。</w:t>
      </w:r>
    </w:p>
    <w:p w14:paraId="0662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</w:rPr>
        <w:t>个人获奖（3分）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按照国家、省、市、县级综合奖分别计3、2.5、2、1.5分，单项折半计分</w:t>
      </w:r>
    </w:p>
    <w:p w14:paraId="1830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综合奖指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</w:rPr>
        <w:t>获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eastAsia="zh-CN"/>
        </w:rPr>
        <w:t>县级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</w:rPr>
        <w:t>以上党委、政府以及教育行政部门授予的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优秀教育工作者、十佳教师、十佳上高人、卓越教师（校长）、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优秀教师（校长）、领航校长、教书育人楷模（最美教师）、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eastAsia="zh-CN"/>
        </w:rPr>
        <w:t>中小学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学科带头人、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eastAsia="zh-CN"/>
        </w:rPr>
        <w:t>骨干教师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val="en-US" w:eastAsia="zh-CN"/>
        </w:rPr>
        <w:t>，优秀德育工作者、师德先进个人、优秀班主任、“支月英式”的好老师（好党员、好干部），优秀党员、优秀党务工作者和创先争优活动先进个人等荣誉称号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  <w:u w:val="none"/>
          <w:lang w:eastAsia="zh-CN"/>
        </w:rPr>
        <w:t>的按以下标准计分（取计分年限内等级最高的一次计分，不累计记分）。</w:t>
      </w:r>
    </w:p>
    <w:p w14:paraId="1C2F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单项奖指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县级以上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党委、政府及教育行政部门授予的其他荣誉称号。</w:t>
      </w:r>
    </w:p>
    <w:p w14:paraId="3E4D0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个人获奖分：按近三年（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2022-2025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学年）个人获奖情况累计计分，最高分超过3分的计3分，其他人员权重计分。</w:t>
      </w:r>
    </w:p>
    <w:p w14:paraId="76C25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以上获奖以证书或通报文件为准，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  <w:u w:val="none"/>
          <w:lang w:eastAsia="zh-CN"/>
        </w:rPr>
        <w:t>起止时间为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2022年9月1日-2025年6月30日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</w:rPr>
        <w:t>获奖分以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highlight w:val="none"/>
        </w:rPr>
        <w:t>分为限。</w:t>
      </w:r>
    </w:p>
    <w:p w14:paraId="4B830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报名时必须由本人申报登记获奖得分情况，并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同时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提交有关获奖证书原件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和文件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，凡未申报登记获奖得分或未提交获奖证书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和文件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的一律不予审查。</w:t>
      </w:r>
    </w:p>
    <w:p w14:paraId="4EBC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sz w:val="32"/>
          <w:szCs w:val="32"/>
          <w:highlight w:val="none"/>
        </w:rPr>
        <w:t>选调方法</w:t>
      </w:r>
    </w:p>
    <w:p w14:paraId="4564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分成中学校长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小学校长两条线，按照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总成绩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由高分到低分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确定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选调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对象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。</w:t>
      </w:r>
    </w:p>
    <w:p w14:paraId="1C39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jE2NWY0YTI1M2E5NTUwMDgwYTZiMDk2Yjk0N2YifQ=="/>
  </w:docVars>
  <w:rsids>
    <w:rsidRoot w:val="00000000"/>
    <w:rsid w:val="2400637F"/>
    <w:rsid w:val="355F2854"/>
    <w:rsid w:val="3EF009BB"/>
    <w:rsid w:val="492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1148</Characters>
  <Lines>0</Lines>
  <Paragraphs>0</Paragraphs>
  <TotalTime>2</TotalTime>
  <ScaleCrop>false</ScaleCrop>
  <LinksUpToDate>false</LinksUpToDate>
  <CharactersWithSpaces>1148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2024-06-12T10:16:00Z</dcterms:created>
  <dc:creator>admin</dc:creator>
  <cp:lastModifiedBy>admin</cp:lastModifiedBy>
  <dcterms:modified xsi:type="dcterms:W3CDTF">2025-07-01T04:33:32Z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E9B1F82ECA5D41F39695A5173C520932_13</vt:lpwstr>
  </property>
  <property fmtid="{D5CDD505-2E9C-101B-9397-08002B2CF9AE}" pid="4" name="KSOTemplateDocerSaveRecord">
    <vt:lpwstr>eyJoZGlkIjoiZDAzMjE2NWY0YTI1M2E5NTUwMDgwYTZiMDk2Yjk0N2YifQ==</vt:lpwstr>
  </property>
</Properties>
</file>