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65F63">
      <w:pPr>
        <w:wordWrap w:val="0"/>
        <w:overflowPunct w:val="0"/>
        <w:rPr>
          <w:rFonts w:hint="eastAsia" w:ascii="黑体" w:hAnsi="黑体" w:eastAsia="黑体" w:cs="黑体"/>
          <w:sz w:val="32"/>
          <w:szCs w:val="32"/>
        </w:rPr>
      </w:pPr>
      <w:bookmarkStart w:id="0" w:name="_GoBack"/>
      <w:r>
        <w:rPr>
          <w:rFonts w:hint="eastAsia" w:ascii="黑体" w:hAnsi="黑体" w:eastAsia="黑体" w:cs="黑体"/>
          <w:sz w:val="32"/>
          <w:szCs w:val="32"/>
        </w:rPr>
        <w:t>附件1</w:t>
      </w:r>
    </w:p>
    <w:p w14:paraId="6EAAECAC">
      <w:pPr>
        <w:wordWrap w:val="0"/>
        <w:overflowPunct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合阳县2025年面向社会公开招聘城镇社区</w:t>
      </w:r>
    </w:p>
    <w:p w14:paraId="4A5A3D1F">
      <w:pPr>
        <w:wordWrap w:val="0"/>
        <w:overflowPunct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专职工作人员笔试加分申请表</w:t>
      </w:r>
      <w:bookmarkEnd w:id="0"/>
    </w:p>
    <w:p w14:paraId="37B2B23D">
      <w:pPr>
        <w:wordWrap w:val="0"/>
        <w:overflowPunct w:val="0"/>
        <w:rPr>
          <w:rFonts w:hint="eastAsia" w:ascii="仿宋" w:hAnsi="仿宋" w:eastAsia="仿宋" w:cs="仿宋"/>
          <w:kern w:val="0"/>
          <w:sz w:val="28"/>
          <w:szCs w:val="28"/>
        </w:rPr>
      </w:pPr>
      <w:r>
        <w:rPr>
          <w:rFonts w:hint="eastAsia" w:ascii="仿宋" w:hAnsi="仿宋" w:eastAsia="仿宋" w:cs="仿宋"/>
          <w:kern w:val="0"/>
          <w:sz w:val="28"/>
          <w:szCs w:val="28"/>
        </w:rPr>
        <w:t>报考县（区）：</w:t>
      </w:r>
    </w:p>
    <w:tbl>
      <w:tblPr>
        <w:tblStyle w:val="4"/>
        <w:tblW w:w="9116" w:type="dxa"/>
        <w:jc w:val="center"/>
        <w:tblLayout w:type="fixed"/>
        <w:tblCellMar>
          <w:top w:w="0" w:type="dxa"/>
          <w:left w:w="108" w:type="dxa"/>
          <w:bottom w:w="0" w:type="dxa"/>
          <w:right w:w="108" w:type="dxa"/>
        </w:tblCellMar>
      </w:tblPr>
      <w:tblGrid>
        <w:gridCol w:w="1495"/>
        <w:gridCol w:w="1868"/>
        <w:gridCol w:w="950"/>
        <w:gridCol w:w="24"/>
        <w:gridCol w:w="1385"/>
        <w:gridCol w:w="1432"/>
        <w:gridCol w:w="1962"/>
      </w:tblGrid>
      <w:tr w14:paraId="0DFB76CB">
        <w:tblPrEx>
          <w:tblCellMar>
            <w:top w:w="0" w:type="dxa"/>
            <w:left w:w="108" w:type="dxa"/>
            <w:bottom w:w="0" w:type="dxa"/>
            <w:right w:w="108" w:type="dxa"/>
          </w:tblCellMar>
        </w:tblPrEx>
        <w:trPr>
          <w:trHeight w:val="633" w:hRule="atLeast"/>
          <w:jc w:val="center"/>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890DF40">
            <w:pPr>
              <w:wordWrap w:val="0"/>
              <w:overflowPunct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1868" w:type="dxa"/>
            <w:tcBorders>
              <w:top w:val="single" w:color="000000" w:sz="4" w:space="0"/>
              <w:left w:val="nil"/>
              <w:bottom w:val="single" w:color="000000" w:sz="4" w:space="0"/>
              <w:right w:val="single" w:color="000000" w:sz="4" w:space="0"/>
            </w:tcBorders>
            <w:noWrap w:val="0"/>
            <w:vAlign w:val="center"/>
          </w:tcPr>
          <w:p w14:paraId="16F28BAE">
            <w:pPr>
              <w:wordWrap w:val="0"/>
              <w:overflowPunct w:val="0"/>
              <w:rPr>
                <w:rFonts w:hint="eastAsia" w:ascii="仿宋_GB2312" w:hAnsi="仿宋_GB2312" w:eastAsia="仿宋_GB2312" w:cs="仿宋_GB2312"/>
                <w:kern w:val="0"/>
                <w:sz w:val="28"/>
                <w:szCs w:val="28"/>
              </w:rPr>
            </w:pPr>
          </w:p>
        </w:tc>
        <w:tc>
          <w:tcPr>
            <w:tcW w:w="950" w:type="dxa"/>
            <w:tcBorders>
              <w:top w:val="single" w:color="000000" w:sz="4" w:space="0"/>
              <w:left w:val="nil"/>
              <w:bottom w:val="single" w:color="000000" w:sz="4" w:space="0"/>
              <w:right w:val="single" w:color="000000" w:sz="4" w:space="0"/>
            </w:tcBorders>
            <w:noWrap w:val="0"/>
            <w:vAlign w:val="center"/>
          </w:tcPr>
          <w:p w14:paraId="2E43DD76">
            <w:pPr>
              <w:wordWrap w:val="0"/>
              <w:overflowPunct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1409" w:type="dxa"/>
            <w:gridSpan w:val="2"/>
            <w:tcBorders>
              <w:top w:val="single" w:color="000000" w:sz="4" w:space="0"/>
              <w:left w:val="nil"/>
              <w:bottom w:val="single" w:color="000000" w:sz="4" w:space="0"/>
              <w:right w:val="single" w:color="auto" w:sz="4" w:space="0"/>
            </w:tcBorders>
            <w:noWrap w:val="0"/>
            <w:vAlign w:val="center"/>
          </w:tcPr>
          <w:p w14:paraId="5B127420">
            <w:pPr>
              <w:wordWrap w:val="0"/>
              <w:overflowPunct w:val="0"/>
              <w:rPr>
                <w:rFonts w:hint="eastAsia" w:ascii="仿宋_GB2312" w:hAnsi="仿宋_GB2312" w:eastAsia="仿宋_GB2312" w:cs="仿宋_GB2312"/>
                <w:kern w:val="0"/>
                <w:sz w:val="28"/>
                <w:szCs w:val="28"/>
              </w:rPr>
            </w:pPr>
          </w:p>
        </w:tc>
        <w:tc>
          <w:tcPr>
            <w:tcW w:w="1432" w:type="dxa"/>
            <w:tcBorders>
              <w:top w:val="single" w:color="000000" w:sz="4" w:space="0"/>
              <w:left w:val="single" w:color="auto" w:sz="4" w:space="0"/>
              <w:bottom w:val="single" w:color="000000" w:sz="4" w:space="0"/>
              <w:right w:val="single" w:color="000000" w:sz="4" w:space="0"/>
            </w:tcBorders>
            <w:noWrap w:val="0"/>
            <w:vAlign w:val="center"/>
          </w:tcPr>
          <w:p w14:paraId="4A7C47EC">
            <w:pPr>
              <w:wordWrap w:val="0"/>
              <w:overflowPunct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出生日期</w:t>
            </w:r>
          </w:p>
        </w:tc>
        <w:tc>
          <w:tcPr>
            <w:tcW w:w="1962" w:type="dxa"/>
            <w:tcBorders>
              <w:top w:val="single" w:color="000000" w:sz="4" w:space="0"/>
              <w:left w:val="nil"/>
              <w:bottom w:val="single" w:color="000000" w:sz="4" w:space="0"/>
              <w:right w:val="single" w:color="000000" w:sz="4" w:space="0"/>
            </w:tcBorders>
            <w:noWrap w:val="0"/>
            <w:vAlign w:val="center"/>
          </w:tcPr>
          <w:p w14:paraId="1E29CE8B">
            <w:pPr>
              <w:wordWrap w:val="0"/>
              <w:overflowPunct w:val="0"/>
              <w:rPr>
                <w:rFonts w:hint="eastAsia" w:ascii="仿宋_GB2312" w:hAnsi="仿宋_GB2312" w:eastAsia="仿宋_GB2312" w:cs="仿宋_GB2312"/>
                <w:kern w:val="0"/>
                <w:sz w:val="28"/>
                <w:szCs w:val="28"/>
              </w:rPr>
            </w:pPr>
          </w:p>
        </w:tc>
      </w:tr>
      <w:tr w14:paraId="60B97A22">
        <w:tblPrEx>
          <w:tblCellMar>
            <w:top w:w="0" w:type="dxa"/>
            <w:left w:w="108" w:type="dxa"/>
            <w:bottom w:w="0" w:type="dxa"/>
            <w:right w:w="108" w:type="dxa"/>
          </w:tblCellMar>
        </w:tblPrEx>
        <w:trPr>
          <w:trHeight w:val="633" w:hRule="atLeast"/>
          <w:jc w:val="center"/>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46B6B04D">
            <w:pPr>
              <w:wordWrap w:val="0"/>
              <w:overflowPunct w:val="0"/>
              <w:spacing w:line="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pacing w:val="-17"/>
                <w:kern w:val="0"/>
                <w:sz w:val="28"/>
                <w:szCs w:val="28"/>
              </w:rPr>
              <w:t>身份证号码</w:t>
            </w:r>
          </w:p>
        </w:tc>
        <w:tc>
          <w:tcPr>
            <w:tcW w:w="2842" w:type="dxa"/>
            <w:gridSpan w:val="3"/>
            <w:tcBorders>
              <w:top w:val="single" w:color="000000" w:sz="4" w:space="0"/>
              <w:left w:val="nil"/>
              <w:bottom w:val="single" w:color="000000" w:sz="4" w:space="0"/>
              <w:right w:val="single" w:color="auto" w:sz="4" w:space="0"/>
            </w:tcBorders>
            <w:noWrap w:val="0"/>
            <w:vAlign w:val="center"/>
          </w:tcPr>
          <w:p w14:paraId="2C3D6AEA">
            <w:pPr>
              <w:wordWrap w:val="0"/>
              <w:overflowPunct w:val="0"/>
              <w:rPr>
                <w:rFonts w:hint="eastAsia" w:ascii="仿宋_GB2312" w:hAnsi="仿宋_GB2312" w:eastAsia="仿宋_GB2312" w:cs="仿宋_GB2312"/>
                <w:kern w:val="0"/>
                <w:sz w:val="28"/>
                <w:szCs w:val="28"/>
              </w:rPr>
            </w:pPr>
          </w:p>
        </w:tc>
        <w:tc>
          <w:tcPr>
            <w:tcW w:w="1385" w:type="dxa"/>
            <w:tcBorders>
              <w:top w:val="single" w:color="000000" w:sz="4" w:space="0"/>
              <w:left w:val="single" w:color="auto" w:sz="4" w:space="0"/>
              <w:bottom w:val="single" w:color="000000" w:sz="4" w:space="0"/>
              <w:right w:val="single" w:color="auto" w:sz="4" w:space="0"/>
            </w:tcBorders>
            <w:noWrap w:val="0"/>
            <w:vAlign w:val="center"/>
          </w:tcPr>
          <w:p w14:paraId="2C32E837">
            <w:pPr>
              <w:wordWrap w:val="0"/>
              <w:overflowPunct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3394" w:type="dxa"/>
            <w:gridSpan w:val="2"/>
            <w:tcBorders>
              <w:top w:val="single" w:color="000000" w:sz="4" w:space="0"/>
              <w:left w:val="single" w:color="auto" w:sz="4" w:space="0"/>
              <w:bottom w:val="single" w:color="000000" w:sz="4" w:space="0"/>
              <w:right w:val="single" w:color="000000" w:sz="4" w:space="0"/>
            </w:tcBorders>
            <w:noWrap w:val="0"/>
            <w:vAlign w:val="center"/>
          </w:tcPr>
          <w:p w14:paraId="6D565503">
            <w:pPr>
              <w:wordWrap w:val="0"/>
              <w:overflowPunct w:val="0"/>
              <w:rPr>
                <w:rFonts w:hint="eastAsia" w:ascii="仿宋_GB2312" w:hAnsi="仿宋_GB2312" w:eastAsia="仿宋_GB2312" w:cs="仿宋_GB2312"/>
                <w:kern w:val="0"/>
                <w:sz w:val="28"/>
                <w:szCs w:val="28"/>
              </w:rPr>
            </w:pPr>
          </w:p>
        </w:tc>
      </w:tr>
      <w:tr w14:paraId="3294F9A8">
        <w:tblPrEx>
          <w:tblCellMar>
            <w:top w:w="0" w:type="dxa"/>
            <w:left w:w="108" w:type="dxa"/>
            <w:bottom w:w="0" w:type="dxa"/>
            <w:right w:w="108" w:type="dxa"/>
          </w:tblCellMar>
        </w:tblPrEx>
        <w:trPr>
          <w:trHeight w:val="2875" w:hRule="atLeast"/>
          <w:jc w:val="center"/>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609D5570">
            <w:pPr>
              <w:wordWrap w:val="0"/>
              <w:overflowPunct w:val="0"/>
              <w:spacing w:line="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加分政策</w:t>
            </w:r>
          </w:p>
        </w:tc>
        <w:tc>
          <w:tcPr>
            <w:tcW w:w="7621" w:type="dxa"/>
            <w:gridSpan w:val="6"/>
            <w:tcBorders>
              <w:top w:val="single" w:color="000000" w:sz="4" w:space="0"/>
              <w:left w:val="nil"/>
              <w:bottom w:val="single" w:color="000000" w:sz="4" w:space="0"/>
              <w:right w:val="single" w:color="000000" w:sz="4" w:space="0"/>
            </w:tcBorders>
            <w:noWrap w:val="0"/>
            <w:vAlign w:val="center"/>
          </w:tcPr>
          <w:p w14:paraId="2AD1C2ED">
            <w:pPr>
              <w:wordWrap w:val="0"/>
              <w:overflowPunct w:val="0"/>
              <w:spacing w:line="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1.在</w:t>
            </w:r>
            <w:r>
              <w:rPr>
                <w:rFonts w:hint="eastAsia" w:ascii="仿宋_GB2312" w:hAnsi="仿宋_GB2312" w:eastAsia="仿宋_GB2312" w:cs="仿宋_GB2312"/>
                <w:szCs w:val="21"/>
                <w:lang w:val="en-US" w:eastAsia="zh-CN"/>
              </w:rPr>
              <w:t>合阳县</w:t>
            </w:r>
            <w:r>
              <w:rPr>
                <w:rFonts w:hint="eastAsia" w:ascii="仿宋_GB2312" w:hAnsi="仿宋_GB2312" w:eastAsia="仿宋_GB2312" w:cs="仿宋_GB2312"/>
                <w:szCs w:val="21"/>
              </w:rPr>
              <w:t>城镇社区连续工作3年以上（以公告发布之日算起）的现有社区“两委”成员和社区服务站公益性岗位人员，且报考</w:t>
            </w:r>
            <w:r>
              <w:rPr>
                <w:rFonts w:hint="eastAsia" w:ascii="仿宋_GB2312" w:hAnsi="仿宋_GB2312" w:eastAsia="仿宋_GB2312" w:cs="仿宋_GB2312"/>
                <w:szCs w:val="21"/>
                <w:lang w:val="en-US" w:eastAsia="zh-CN"/>
              </w:rPr>
              <w:t>合阳县</w:t>
            </w:r>
            <w:r>
              <w:rPr>
                <w:rFonts w:hint="eastAsia" w:ascii="仿宋_GB2312" w:hAnsi="仿宋_GB2312" w:eastAsia="仿宋_GB2312" w:cs="仿宋_GB2312"/>
                <w:szCs w:val="21"/>
              </w:rPr>
              <w:t>社区岗位的加10分。</w:t>
            </w:r>
          </w:p>
          <w:p w14:paraId="1E466A23">
            <w:pPr>
              <w:wordWrap w:val="0"/>
              <w:overflowPunct w:val="0"/>
              <w:spacing w:line="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2.取得《社会工作者职业水平证书》者初级加6分、中级加8分、高级加10分。</w:t>
            </w:r>
          </w:p>
          <w:p w14:paraId="5334F002">
            <w:pPr>
              <w:wordWrap w:val="0"/>
              <w:overflowPunct w:val="0"/>
              <w:spacing w:line="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3.自主就业退役士兵笔试加分政策按陕西省人民政府令第163号要求执行,此类加分最高不得超过20分。符合以上加分条件的，只按分值最高单项加分，不得累加。</w:t>
            </w:r>
          </w:p>
          <w:p w14:paraId="7519427B">
            <w:pPr>
              <w:wordWrap w:val="0"/>
              <w:overflowPunct w:val="0"/>
              <w:spacing w:line="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符合以上加分条件的，只按分值最高单项加分，不得累计加分。</w:t>
            </w:r>
          </w:p>
          <w:p w14:paraId="29F292F2">
            <w:pPr>
              <w:spacing w:line="320" w:lineRule="exact"/>
              <w:ind w:firstLine="3373" w:firstLineChars="1600"/>
              <w:rPr>
                <w:rFonts w:hint="eastAsia" w:ascii="仿宋_GB2312" w:hAnsi="仿宋_GB2312" w:eastAsia="仿宋_GB2312" w:cs="仿宋_GB2312"/>
                <w:b/>
                <w:bCs/>
                <w:kern w:val="0"/>
                <w:szCs w:val="21"/>
              </w:rPr>
            </w:pPr>
          </w:p>
          <w:p w14:paraId="1B67B363">
            <w:pPr>
              <w:spacing w:line="320" w:lineRule="exact"/>
              <w:ind w:firstLine="3373" w:firstLineChars="16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本人申请加分：       分</w:t>
            </w:r>
          </w:p>
          <w:p w14:paraId="3BBD12F3">
            <w:pPr>
              <w:wordWrap w:val="0"/>
              <w:overflowPunct w:val="0"/>
              <w:spacing w:line="0" w:lineRule="atLeast"/>
              <w:ind w:firstLine="480" w:firstLineChars="200"/>
              <w:rPr>
                <w:rFonts w:hint="eastAsia" w:ascii="仿宋_GB2312" w:hAnsi="仿宋_GB2312" w:eastAsia="仿宋_GB2312" w:cs="仿宋_GB2312"/>
                <w:sz w:val="24"/>
              </w:rPr>
            </w:pPr>
          </w:p>
        </w:tc>
      </w:tr>
      <w:tr w14:paraId="6E422C9B">
        <w:tblPrEx>
          <w:tblCellMar>
            <w:top w:w="0" w:type="dxa"/>
            <w:left w:w="108" w:type="dxa"/>
            <w:bottom w:w="0" w:type="dxa"/>
            <w:right w:w="108" w:type="dxa"/>
          </w:tblCellMar>
        </w:tblPrEx>
        <w:trPr>
          <w:trHeight w:val="2182" w:hRule="atLeast"/>
          <w:jc w:val="center"/>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7071D704">
            <w:pPr>
              <w:wordWrap w:val="0"/>
              <w:overflowPunct w:val="0"/>
              <w:spacing w:line="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加分理由</w:t>
            </w:r>
          </w:p>
        </w:tc>
        <w:tc>
          <w:tcPr>
            <w:tcW w:w="7621" w:type="dxa"/>
            <w:gridSpan w:val="6"/>
            <w:tcBorders>
              <w:top w:val="single" w:color="000000" w:sz="4" w:space="0"/>
              <w:left w:val="nil"/>
              <w:bottom w:val="single" w:color="000000" w:sz="4" w:space="0"/>
              <w:right w:val="single" w:color="000000" w:sz="4" w:space="0"/>
            </w:tcBorders>
            <w:noWrap w:val="0"/>
            <w:vAlign w:val="center"/>
          </w:tcPr>
          <w:p w14:paraId="0EE6ED36">
            <w:pPr>
              <w:spacing w:line="320" w:lineRule="exact"/>
              <w:rPr>
                <w:rFonts w:hint="eastAsia"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szCs w:val="21"/>
              </w:rPr>
              <w:t>一、符合第1项加分标准的应提交</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u w:val="single"/>
                <w:lang w:val="en-US" w:eastAsia="zh-CN"/>
              </w:rPr>
              <w:t>合阳县</w:t>
            </w:r>
            <w:r>
              <w:rPr>
                <w:rFonts w:hint="eastAsia" w:ascii="仿宋_GB2312" w:hAnsi="仿宋_GB2312" w:eastAsia="仿宋_GB2312" w:cs="仿宋_GB2312"/>
                <w:color w:val="auto"/>
                <w:szCs w:val="21"/>
              </w:rPr>
              <w:t>2025年面向社会公开招聘城镇社区专职工作人员加分证明》</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其中现有城镇社区“两委”成员还须出具街道（镇）印发的任职文件原件及复印件，现有城镇社区服务站公益性岗位人员还须出具用人单位签订的劳动合同、聘用文件原件及复印件；</w:t>
            </w:r>
          </w:p>
          <w:p w14:paraId="4E6F7735">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二、符合第2项加分标准的提交《社会工作者职业水平证书》；</w:t>
            </w:r>
          </w:p>
          <w:p w14:paraId="00C24D17">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三、符合第3项加分标准的须持本人退伍证，退役军人事务部门对其自主就业身份认定证明。获得三等功以上者须提供立功证书和立功奖励登记表；退伍大学生士兵须提供全日制高等院校毕业证书；超期服役人员须提供退出现役登记表。</w:t>
            </w:r>
          </w:p>
          <w:p w14:paraId="3AD128F2">
            <w:pPr>
              <w:wordWrap w:val="0"/>
              <w:overflowPunct w:val="0"/>
              <w:spacing w:line="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14:paraId="516BDB59">
            <w:pPr>
              <w:wordWrap w:val="0"/>
              <w:overflowPunct w:val="0"/>
              <w:spacing w:line="0" w:lineRule="atLeast"/>
              <w:ind w:firstLine="3360" w:firstLineChars="1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申请人签名：</w:t>
            </w:r>
          </w:p>
          <w:p w14:paraId="41D1C915">
            <w:pPr>
              <w:wordWrap w:val="0"/>
              <w:overflowPunct w:val="0"/>
              <w:spacing w:line="0" w:lineRule="atLeast"/>
              <w:rPr>
                <w:rFonts w:hint="eastAsia" w:ascii="仿宋_GB2312" w:hAnsi="仿宋_GB2312" w:eastAsia="仿宋_GB2312" w:cs="仿宋_GB2312"/>
                <w:kern w:val="0"/>
                <w:sz w:val="24"/>
              </w:rPr>
            </w:pPr>
          </w:p>
          <w:p w14:paraId="2572ADAF">
            <w:pPr>
              <w:wordWrap w:val="0"/>
              <w:overflowPunct w:val="0"/>
              <w:spacing w:line="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tc>
      </w:tr>
      <w:tr w14:paraId="5E71F86E">
        <w:tblPrEx>
          <w:tblCellMar>
            <w:top w:w="0" w:type="dxa"/>
            <w:left w:w="108" w:type="dxa"/>
            <w:bottom w:w="0" w:type="dxa"/>
            <w:right w:w="108" w:type="dxa"/>
          </w:tblCellMar>
        </w:tblPrEx>
        <w:trPr>
          <w:trHeight w:val="1572" w:hRule="atLeast"/>
          <w:jc w:val="center"/>
        </w:trPr>
        <w:tc>
          <w:tcPr>
            <w:tcW w:w="1495" w:type="dxa"/>
            <w:tcBorders>
              <w:top w:val="single" w:color="000000" w:sz="4" w:space="0"/>
              <w:left w:val="single" w:color="000000" w:sz="4" w:space="0"/>
              <w:bottom w:val="single" w:color="auto" w:sz="4" w:space="0"/>
              <w:right w:val="single" w:color="000000" w:sz="4" w:space="0"/>
            </w:tcBorders>
            <w:noWrap w:val="0"/>
            <w:vAlign w:val="center"/>
          </w:tcPr>
          <w:p w14:paraId="287FD382">
            <w:pPr>
              <w:wordWrap w:val="0"/>
              <w:overflowPunct w:val="0"/>
              <w:spacing w:line="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县委</w:t>
            </w:r>
          </w:p>
          <w:p w14:paraId="4256C736">
            <w:pPr>
              <w:wordWrap w:val="0"/>
              <w:overflowPunct w:val="0"/>
              <w:spacing w:line="0" w:lineRule="atLeast"/>
              <w:jc w:val="center"/>
              <w:rPr>
                <w:rFonts w:hint="eastAsia" w:ascii="仿宋_GB2312" w:hAnsi="仿宋_GB2312" w:eastAsia="仿宋_GB2312" w:cs="仿宋_GB2312"/>
                <w:spacing w:val="-17"/>
                <w:kern w:val="0"/>
                <w:sz w:val="28"/>
                <w:szCs w:val="28"/>
              </w:rPr>
            </w:pPr>
            <w:r>
              <w:rPr>
                <w:rFonts w:hint="eastAsia" w:ascii="仿宋_GB2312" w:hAnsi="仿宋_GB2312" w:eastAsia="仿宋_GB2312" w:cs="仿宋_GB2312"/>
                <w:spacing w:val="-17"/>
                <w:kern w:val="0"/>
                <w:sz w:val="28"/>
                <w:szCs w:val="28"/>
              </w:rPr>
              <w:t>社会工作部</w:t>
            </w:r>
          </w:p>
          <w:p w14:paraId="0E788766">
            <w:pPr>
              <w:wordWrap w:val="0"/>
              <w:overflowPunct w:val="0"/>
              <w:spacing w:line="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审核意见</w:t>
            </w:r>
          </w:p>
        </w:tc>
        <w:tc>
          <w:tcPr>
            <w:tcW w:w="7621" w:type="dxa"/>
            <w:gridSpan w:val="6"/>
            <w:tcBorders>
              <w:top w:val="single" w:color="000000" w:sz="4" w:space="0"/>
              <w:left w:val="nil"/>
              <w:bottom w:val="single" w:color="auto" w:sz="4" w:space="0"/>
              <w:right w:val="single" w:color="000000" w:sz="4" w:space="0"/>
            </w:tcBorders>
            <w:noWrap w:val="0"/>
            <w:vAlign w:val="center"/>
          </w:tcPr>
          <w:p w14:paraId="10E218E9">
            <w:pPr>
              <w:wordWrap w:val="0"/>
              <w:overflowPunct w:val="0"/>
              <w:spacing w:line="0" w:lineRule="atLeast"/>
              <w:rPr>
                <w:rFonts w:hint="eastAsia" w:ascii="仿宋_GB2312" w:hAnsi="仿宋_GB2312" w:eastAsia="仿宋_GB2312" w:cs="仿宋_GB2312"/>
                <w:kern w:val="0"/>
                <w:sz w:val="24"/>
              </w:rPr>
            </w:pPr>
          </w:p>
          <w:p w14:paraId="544EF248">
            <w:pPr>
              <w:wordWrap w:val="0"/>
              <w:overflowPunct w:val="0"/>
              <w:spacing w:line="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是否同意加分：</w:t>
            </w:r>
          </w:p>
          <w:p w14:paraId="7762D13A">
            <w:pPr>
              <w:wordWrap w:val="0"/>
              <w:overflowPunct w:val="0"/>
              <w:spacing w:line="0" w:lineRule="atLeast"/>
              <w:ind w:firstLine="3600" w:firstLineChars="15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审核人签名：</w:t>
            </w:r>
          </w:p>
          <w:p w14:paraId="1F4FA639">
            <w:pPr>
              <w:wordWrap w:val="0"/>
              <w:overflowPunct w:val="0"/>
              <w:spacing w:line="0" w:lineRule="atLeast"/>
              <w:ind w:firstLine="3360" w:firstLineChars="1400"/>
              <w:rPr>
                <w:rFonts w:hint="eastAsia" w:ascii="仿宋_GB2312" w:hAnsi="仿宋_GB2312" w:eastAsia="仿宋_GB2312" w:cs="仿宋_GB2312"/>
                <w:kern w:val="0"/>
                <w:sz w:val="24"/>
              </w:rPr>
            </w:pPr>
          </w:p>
          <w:p w14:paraId="05B39529">
            <w:pPr>
              <w:wordWrap w:val="0"/>
              <w:overflowPunct w:val="0"/>
              <w:spacing w:line="0" w:lineRule="atLeast"/>
              <w:ind w:firstLine="3360" w:firstLineChars="14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（审核单位盖章）</w:t>
            </w:r>
          </w:p>
          <w:p w14:paraId="54314800">
            <w:pPr>
              <w:wordWrap w:val="0"/>
              <w:overflowPunct w:val="0"/>
              <w:spacing w:line="0" w:lineRule="atLeast"/>
              <w:ind w:firstLine="4560" w:firstLineChars="19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bl>
    <w:p w14:paraId="42C93BA2">
      <w:pPr>
        <w:wordWrap w:val="0"/>
        <w:overflowPunct w:val="0"/>
        <w:ind w:firstLine="560" w:firstLineChars="200"/>
        <w:rPr>
          <w:rFonts w:hint="eastAsia" w:ascii="仿宋" w:hAnsi="仿宋" w:eastAsia="仿宋" w:cs="仿宋"/>
          <w:kern w:val="0"/>
          <w:sz w:val="28"/>
          <w:szCs w:val="28"/>
        </w:rPr>
      </w:pPr>
    </w:p>
    <w:p w14:paraId="3C20987B">
      <w:pPr>
        <w:wordWrap w:val="0"/>
        <w:overflowPunct w:val="0"/>
        <w:ind w:firstLine="560" w:firstLineChars="200"/>
        <w:rPr>
          <w:rFonts w:hint="eastAsia" w:ascii="仿宋" w:hAnsi="仿宋" w:eastAsia="仿宋" w:cs="仿宋"/>
          <w:kern w:val="0"/>
          <w:sz w:val="28"/>
          <w:szCs w:val="28"/>
        </w:rPr>
      </w:pPr>
    </w:p>
    <w:p w14:paraId="68EE6536">
      <w:pPr>
        <w:wordWrap w:val="0"/>
        <w:overflowPunct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填表说明：</w:t>
      </w:r>
    </w:p>
    <w:p w14:paraId="5DE44D06">
      <w:pPr>
        <w:wordWrap w:val="0"/>
        <w:overflowPunct w:val="0"/>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本表一式两份。</w:t>
      </w:r>
    </w:p>
    <w:p w14:paraId="1028C091">
      <w:pPr>
        <w:wordWrap w:val="0"/>
        <w:overflowPunct w:val="0"/>
        <w:ind w:firstLine="560" w:firstLineChars="200"/>
        <w:rPr>
          <w:rFonts w:hint="eastAsia" w:ascii="仿宋" w:hAnsi="仿宋" w:eastAsia="仿宋" w:cs="仿宋"/>
          <w:sz w:val="28"/>
          <w:szCs w:val="28"/>
        </w:rPr>
      </w:pPr>
      <w:r>
        <w:rPr>
          <w:rFonts w:hint="eastAsia" w:ascii="仿宋" w:hAnsi="仿宋" w:eastAsia="仿宋" w:cs="仿宋"/>
          <w:sz w:val="28"/>
          <w:szCs w:val="28"/>
        </w:rPr>
        <w:t>2.连同本表一并提交有效身份证、加分证明、《社会工作者职业水平证书》以及认定证明。以上材料均要求原件1份，复印件2份，2份复印件分别附本表后。</w:t>
      </w:r>
    </w:p>
    <w:p w14:paraId="57524BFE">
      <w:pPr>
        <w:wordWrap w:val="0"/>
        <w:overflowPunct w:val="0"/>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3.加分申请表签名由本人手签（打印无效）。</w:t>
      </w:r>
    </w:p>
    <w:p w14:paraId="3F4ED561">
      <w:pPr>
        <w:wordWrap w:val="0"/>
        <w:overflowPunct w:val="0"/>
        <w:ind w:firstLine="560" w:firstLineChars="200"/>
        <w:rPr>
          <w:rFonts w:hint="eastAsia" w:ascii="仿宋" w:hAnsi="仿宋" w:eastAsia="仿宋" w:cs="仿宋"/>
          <w:sz w:val="28"/>
          <w:szCs w:val="28"/>
        </w:rPr>
      </w:pPr>
      <w:r>
        <w:rPr>
          <w:rFonts w:hint="eastAsia" w:ascii="仿宋" w:hAnsi="仿宋" w:eastAsia="仿宋" w:cs="仿宋"/>
          <w:sz w:val="28"/>
          <w:szCs w:val="28"/>
        </w:rPr>
        <w:t>4.所填内容务必真实、准确，弄虚作假享受加分政策的，一经查实，取消应聘人员考试或聘用资格，且三年内不得应聘全市城镇社区专职工作人员，追究相关人员责任。</w:t>
      </w:r>
    </w:p>
    <w:p w14:paraId="51D300A5">
      <w:pPr>
        <w:wordWrap w:val="0"/>
        <w:overflowPunct w:val="0"/>
        <w:ind w:firstLine="422" w:firstLineChars="200"/>
        <w:rPr>
          <w:b/>
          <w:bCs/>
        </w:rPr>
      </w:pPr>
    </w:p>
    <w:p w14:paraId="2C7A099D">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67F144A0">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7BADE898">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30984D5B">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20D4F38E">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61FD0311">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0BE9DEFC">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1BC30E69">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5DA38301">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156CAC01">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4CFEFD7C">
      <w:pPr>
        <w:pStyle w:val="3"/>
        <w:wordWrap w:val="0"/>
        <w:overflowPunct w:val="0"/>
        <w:spacing w:before="0" w:beforeAutospacing="0" w:after="0" w:afterAutospacing="0"/>
        <w:ind w:firstLine="640" w:firstLineChars="200"/>
        <w:jc w:val="both"/>
        <w:rPr>
          <w:rFonts w:hint="eastAsia" w:ascii="仿宋_GB2312" w:hAnsi="仿宋_GB2312" w:eastAsia="仿宋_GB2312" w:cs="仿宋_GB2312"/>
          <w:color w:val="000000"/>
          <w:sz w:val="32"/>
          <w:szCs w:val="32"/>
          <w:shd w:val="clear" w:color="auto" w:fill="FFFFFF"/>
        </w:rPr>
      </w:pPr>
    </w:p>
    <w:p w14:paraId="526171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5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2025-07-10T02:51:22Z</dcterms:created>
  <dc:creator>Administrator</dc:creator>
  <cp:lastModifiedBy>超级奶爸</cp:lastModifiedBy>
  <dcterms:modified xsi:type="dcterms:W3CDTF">2025-07-10T02:51:45Z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eyJoZGlkIjoiNGIwYzE4YjljYzAzMzJlNmUzY2IzZWMwNzUyZmNhOWQiLCJ1c2VySWQiOiIzNjIyNzMyMDAifQ==</vt:lpwstr>
  </property>
  <property fmtid="{D5CDD505-2E9C-101B-9397-08002B2CF9AE}" pid="4" name="ICV">
    <vt:lpwstr>B955FEF8DCD94815A351E537922F7659_12</vt:lpwstr>
  </property>
</Properties>
</file>