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C8AC2"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  <w:t>1</w:t>
      </w:r>
    </w:p>
    <w:p w14:paraId="75229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36"/>
          <w:szCs w:val="36"/>
          <w:highlight w:val="none"/>
          <w:u w:val="none" w:color="auto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z w:val="36"/>
          <w:szCs w:val="36"/>
          <w:highlight w:val="none"/>
          <w:u w:val="none" w:color="auto"/>
          <w:shd w:val="clear" w:color="auto" w:fill="auto"/>
          <w:lang w:eastAsia="zh-CN"/>
        </w:rPr>
        <w:t>选调单位基本情况</w:t>
      </w:r>
    </w:p>
    <w:p w14:paraId="280E2F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</w:p>
    <w:p w14:paraId="0011A6A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1.四川省人民政府文史研究馆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公益一类事业单位，主要职能是组织和引导馆员在鉴史、咨询国是、民主监督、统战联谊等方面发挥重要作用；为馆员履行职责提供保障和服务；组织馆员学习党和国家方针政策；承办馆员遴选事务。</w:t>
      </w:r>
    </w:p>
    <w:p w14:paraId="6E085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2.四川省人民政府发展研究中心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公益一类事业单位，主要职能是研究我省国民经济、社会发展和改革开放中的全局性、综合性、战略性、长期性、前瞻性以及热点、难点问题，为省委、省政府提供政策建议和咨询意见；开展行政管理科学方面的研究；承担国务院“互联网+督查”平台转办问题线索办理的相关事务性工作；负责省政府“互联网+督查”平台问题线索的转办、复查、核实等工作；承担省政府办公厅（省政府研究室）交办的其他事项。</w:t>
      </w:r>
    </w:p>
    <w:p w14:paraId="0781BA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3.四川省航空与电子口岸服务中心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公益一类事业单位，主要职能是负责航空口岸现场服务和驻机场各单位的信息收集、数据分析、沟通协调等事务性工作；承担中国（四川）国际贸易“单一窗口”平台建设、发展规划、功能开发、推广应用和日常维护,以及相关数据的收集整理、分析利用等工作。</w:t>
      </w:r>
    </w:p>
    <w:p w14:paraId="1FAED0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40304BC"/>
    <w:rsid w:val="1403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2025-05-16T03:02:00Z</dcterms:created>
  <dc:creator>dell</dc:creator>
  <cp:lastModifiedBy>dell</cp:lastModifiedBy>
  <dcterms:modified xsi:type="dcterms:W3CDTF">2025-05-16T03:02:12Z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E9DC6F416AE94DF282EF965B339B6AB3_11</vt:lpwstr>
  </property>
</Properties>
</file>