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微软雅黑" w:cs="微软雅黑"/>
          <w:sz w:val="44"/>
          <w:szCs w:val="44"/>
        </w:rPr>
      </w:pPr>
      <w:bookmarkStart w:id="0" w:name="_GoBack"/>
      <w:r>
        <w:rPr>
          <w:rFonts w:hint="eastAsia" w:ascii="Times New Roman" w:hAnsi="Times New Roman" w:eastAsia="微软雅黑" w:cs="微软雅黑"/>
          <w:sz w:val="44"/>
          <w:szCs w:val="44"/>
        </w:rPr>
        <w:t>达州市产业发展有限公司</w:t>
      </w:r>
    </w:p>
    <w:p>
      <w:pPr>
        <w:spacing w:line="578" w:lineRule="exact"/>
        <w:jc w:val="center"/>
        <w:rPr>
          <w:rFonts w:hint="eastAsia" w:ascii="Times New Roman" w:hAnsi="Times New Roman" w:eastAsia="微软雅黑" w:cs="微软雅黑"/>
          <w:sz w:val="44"/>
          <w:szCs w:val="44"/>
        </w:rPr>
      </w:pPr>
      <w:r>
        <w:rPr>
          <w:rFonts w:hint="eastAsia" w:ascii="Times New Roman" w:hAnsi="Times New Roman" w:eastAsia="微软雅黑" w:cs="微软雅黑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微软雅黑" w:cs="微软雅黑"/>
          <w:sz w:val="44"/>
          <w:szCs w:val="44"/>
        </w:rPr>
        <w:t>公开</w:t>
      </w:r>
      <w:r>
        <w:rPr>
          <w:rFonts w:hint="eastAsia" w:ascii="Times New Roman" w:hAnsi="Times New Roman" w:eastAsia="微软雅黑" w:cs="微软雅黑"/>
          <w:sz w:val="44"/>
          <w:szCs w:val="44"/>
          <w:lang w:val="en-US" w:eastAsia="zh-CN"/>
        </w:rPr>
        <w:t>招聘四川锦宸信融资租赁有限公司工作</w:t>
      </w:r>
      <w:r>
        <w:rPr>
          <w:rFonts w:hint="eastAsia" w:ascii="Times New Roman" w:hAnsi="Times New Roman" w:eastAsia="微软雅黑" w:cs="微软雅黑"/>
          <w:sz w:val="44"/>
          <w:szCs w:val="44"/>
        </w:rPr>
        <w:t>人员</w:t>
      </w:r>
      <w:r>
        <w:rPr>
          <w:rFonts w:hint="eastAsia" w:ascii="Times New Roman" w:hAnsi="Times New Roman" w:eastAsia="微软雅黑" w:cs="微软雅黑"/>
          <w:sz w:val="44"/>
          <w:szCs w:val="44"/>
          <w:lang w:val="en-US" w:eastAsia="zh-CN"/>
        </w:rPr>
        <w:t>岗</w:t>
      </w:r>
      <w:r>
        <w:rPr>
          <w:rFonts w:hint="eastAsia" w:ascii="Times New Roman" w:hAnsi="Times New Roman" w:eastAsia="微软雅黑" w:cs="微软雅黑"/>
          <w:sz w:val="44"/>
          <w:szCs w:val="44"/>
        </w:rPr>
        <w:t>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微软雅黑" w:cs="微软雅黑"/>
          <w:sz w:val="44"/>
          <w:szCs w:val="44"/>
        </w:rPr>
      </w:pPr>
    </w:p>
    <w:tbl>
      <w:tblPr>
        <w:tblStyle w:val="6"/>
        <w:tblW w:w="5446" w:type="pct"/>
        <w:jc w:val="center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91"/>
        <w:gridCol w:w="679"/>
        <w:gridCol w:w="525"/>
        <w:gridCol w:w="1452"/>
        <w:gridCol w:w="3860"/>
        <w:gridCol w:w="711"/>
        <w:gridCol w:w="875"/>
        <w:gridCol w:w="779"/>
        <w:gridCol w:w="725"/>
        <w:gridCol w:w="711"/>
        <w:gridCol w:w="904"/>
        <w:gridCol w:w="1530"/>
        <w:gridCol w:w="1209"/>
        <w:gridCol w:w="689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38" w:hRule="atLeast"/>
          <w:tblHeader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企业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用人</w:t>
            </w:r>
            <w:r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企业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岗位职责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要求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证件</w:t>
            </w:r>
            <w:r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条件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咨询</w:t>
            </w:r>
            <w:r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达州市产业发展有限公司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四川锦宸信融资租赁有限公司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资产管理岗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（一）依据行业监管政策，负责建立完善公司租后管理相关制度。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（二）负责制定租后台账登记、档案登记及管理、租后全程管理的操作流程及规范要求。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（三）负责租赁物、担保物资产评估和管理，负责督促租赁物、担保物财产保险购买。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（四）负责租赁业务存续期客户的现场和非现场检查工作。负责编写租后检查表和租后检查报告。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（五）负责租赁资产质量管理，租赁业务的五级分类及准备金计提工作。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（六）负责租赁客户分类管理，租赁客户风险提示，租赁客户的年度评级工作等。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（七）负责逾期租金管理及催收工作。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（八）协同法务部综合运用法律手段实施包括诉讼在内的催收、处置工作，最大限度挽回资产损失。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（九）协同法务部负责审核公司资产处置类法律文书，确保公司资产管理工作合规合法。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（十）负责不良资产责任认定及管理工作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经济学一级学科、法学一级学科、管理学一级学科；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具有3年及以上相关工作经验；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熟悉相关行业知识背景、国家及行业规定及操作规则；掌握资产分类、风险预警等操作办法。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0818-2833899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薪酬福利按四川锦宸信融资租赁有限公司薪酬制度执行。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39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达州市产业发展有限公司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四川锦宸信融资租赁有限公司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风控岗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（一）制定公司合规管理制度，统筹公司合规管理并组织实施各项合规工作。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（二）制定风险管理制度，建立和完善信审相关制度。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（三）负责公司融资租赁业务的信审工作，提示和把握信用风险，按程序报送公司有权机构审批，确保公司资产质量及审批工作流程合法合规。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（四）负责审核融资租赁业务相关合同文件和资料的合法合规性，避免法律合规风险，保障业务合同的正常执行。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（五）负责审核租后流程的合规性，把控操作性风险，通过对租后流程的管理和优化，确保运营效率和精确性。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（六）负责分析、识别及监控租赁资产结构性、系统性风险，协同资产管理部对租赁资产进行管理工作，从租前、租中、租后及内部四个维度进行全面把握，对公司结构性风险、系统性信用风险进行全面管理。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（七）负责公司非业务合同法律审核和询问，开展合规审查，规避合规风险。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（八）负责对融资租赁业务过程进行检查、分析、评价及整改督导，合理保障公司健康、可持续、稳定发展。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管理学一级学科、法学一级学科、经济学一级学科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具有3年及以上相关工作经验；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熟练掌握金融、租赁业务、财务管理、企业管理等方面的综合知识；了解相关行业背景知识、国家及行业政策规定及操作规则；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具备较强的独立评审能力，丰富的风险识别经验，较强的沟通协调能力。具有优秀的分析和解决问题能力，逻辑能力和抗压能力强。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0818-2833899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薪酬福利按四川锦宸信融资租赁有限公司薪酬制度执行。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5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达州市产业发展有限公司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四川锦宸信融资租赁有限公司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法务岗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（一）负责建立完善公司法务相关制度。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（二）负责制定和完善公司融资租赁业务相关合同文本，包括但不限于融资租赁合同、业务申请书、订购契约书、抵押合同、质押合同、保证合同、董事会/股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东大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会决议、核保书、租金/费用支付通知书、催收通知书及相关附件文本等。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（三）负责公司及融资租赁业务的法律事务处理，包括但不限于审核法律文件、发送律师函、代表公司进行诉讼等。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（四）协同资产管理部综合运用法律手段实施包括诉讼在内的催收、处置工作，最大限度挽回资产损失。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（五）协同资产管理部负责审核公司资产处置类法律文书，确保公司资产管理工作合规合法。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法律职业资格证书；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3年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以上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相关工作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经验；</w:t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熟悉融资租赁法律实务及监管政策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0818-2833899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薪酬福利按四川锦宸信融资租赁有限公司薪酬制度执行。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79" w:hRule="atLeast"/>
          <w:jc w:val="center"/>
        </w:trPr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达州市产业发展有限公司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四川锦宸信融资租赁有限公司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业务拓展岗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（一）根据具体经营目标和负责的区域板块，执行营销任务，保证实现业绩指标；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（二）拓展意向客户和目标板块，进行客户拜访和需求挖掘，建立顺畅的客户沟通渠道；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（三）针对意向客户和项目进行实地考察，进行资料收集，识别主要风险并提出控制措施，出具详细尽调报告；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（四）联合风控合规部门共同开展目标项目的项目论证、项目整体规划和全面风险防控；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（五）负责项目租赁期结束前的具体执行、管理和监控，包括对承租人及租赁物跟踪信息的收集反馈。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具有融资租赁、银行、担保、小贷公司等相关金融机构工作经验；</w:t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具有良好的市场开拓能力、沟通协调能力、书面表达能力，能承受较大工作压力。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0818-2833899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薪酬福利按四川锦宸信融资租赁有限公司薪酬制度执行。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6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right="-4" w:rightChars="-2"/>
    </w:pPr>
    <w:rPr>
      <w:sz w:val="32"/>
      <w:szCs w:val="32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Cosarcsinx</cp:lastModifiedBy>
  <dcterms:modified xsi:type="dcterms:W3CDTF">2025-06-16T15:09:17Z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