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E0A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w:t>
      </w:r>
    </w:p>
    <w:tbl>
      <w:tblPr>
        <w:tblStyle w:val="3"/>
        <w:tblW w:w="5118" w:type="pct"/>
        <w:tblInd w:w="-3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471"/>
        <w:gridCol w:w="1550"/>
        <w:gridCol w:w="4736"/>
        <w:gridCol w:w="3343"/>
        <w:gridCol w:w="1521"/>
        <w:gridCol w:w="1091"/>
      </w:tblGrid>
      <w:tr w14:paraId="35F9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nil"/>
              <w:left w:val="nil"/>
              <w:bottom w:val="single" w:color="auto" w:sz="4" w:space="0"/>
              <w:right w:val="nil"/>
            </w:tcBorders>
            <w:shd w:val="clear" w:color="auto" w:fill="auto"/>
            <w:noWrap/>
            <w:vAlign w:val="center"/>
          </w:tcPr>
          <w:p w14:paraId="40BF3FE2">
            <w:pPr>
              <w:keepNext w:val="0"/>
              <w:keepLines w:val="0"/>
              <w:widowControl/>
              <w:suppressLineNumbers w:val="0"/>
              <w:jc w:val="center"/>
              <w:textAlignment w:val="center"/>
              <w:rPr>
                <w:rFonts w:ascii="仿宋_GB2312" w:hAnsi="宋体" w:eastAsia="仿宋_GB2312" w:cs="仿宋_GB2312"/>
                <w:i w:val="0"/>
                <w:iCs w:val="0"/>
                <w:color w:val="000000"/>
                <w:sz w:val="56"/>
                <w:szCs w:val="56"/>
                <w:u w:val="none"/>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湖北广济药业股份有限公司所属企业公开招聘岗位信息表</w:t>
            </w:r>
            <w:bookmarkEnd w:id="0"/>
          </w:p>
        </w:tc>
      </w:tr>
      <w:tr w14:paraId="1453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5" w:type="pct"/>
            <w:tcBorders>
              <w:top w:val="single" w:color="auto" w:sz="4" w:space="0"/>
              <w:left w:val="single" w:color="auto" w:sz="4" w:space="0"/>
              <w:bottom w:val="single" w:color="auto" w:sz="4" w:space="0"/>
              <w:right w:val="single" w:color="auto" w:sz="4" w:space="0"/>
            </w:tcBorders>
            <w:shd w:val="clear" w:color="auto" w:fill="auto"/>
            <w:vAlign w:val="center"/>
          </w:tcPr>
          <w:p w14:paraId="59E58530">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14:paraId="4903F2EC">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招聘公司</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351BDE60">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岗位</w:t>
            </w:r>
          </w:p>
        </w:tc>
        <w:tc>
          <w:tcPr>
            <w:tcW w:w="1632" w:type="pct"/>
            <w:tcBorders>
              <w:top w:val="single" w:color="auto" w:sz="4" w:space="0"/>
              <w:left w:val="single" w:color="auto" w:sz="4" w:space="0"/>
              <w:bottom w:val="single" w:color="auto" w:sz="4" w:space="0"/>
              <w:right w:val="single" w:color="auto" w:sz="4" w:space="0"/>
            </w:tcBorders>
            <w:shd w:val="clear" w:color="auto" w:fill="auto"/>
            <w:vAlign w:val="center"/>
          </w:tcPr>
          <w:p w14:paraId="0A91ED3D">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岗位职责</w:t>
            </w:r>
          </w:p>
        </w:tc>
        <w:tc>
          <w:tcPr>
            <w:tcW w:w="1152" w:type="pct"/>
            <w:tcBorders>
              <w:top w:val="single" w:color="auto" w:sz="4" w:space="0"/>
              <w:left w:val="single" w:color="auto" w:sz="4" w:space="0"/>
              <w:bottom w:val="single" w:color="auto" w:sz="4" w:space="0"/>
              <w:right w:val="single" w:color="auto" w:sz="4" w:space="0"/>
            </w:tcBorders>
            <w:shd w:val="clear" w:color="auto" w:fill="auto"/>
            <w:vAlign w:val="center"/>
          </w:tcPr>
          <w:p w14:paraId="7E3D74CC">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任职资格</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14:paraId="659ABDF0">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用工性质</w:t>
            </w:r>
          </w:p>
        </w:tc>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32C948B2">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备注</w:t>
            </w:r>
          </w:p>
        </w:tc>
      </w:tr>
      <w:tr w14:paraId="390C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5" w:type="pct"/>
            <w:tcBorders>
              <w:top w:val="single" w:color="auto" w:sz="4" w:space="0"/>
              <w:left w:val="single" w:color="000000" w:sz="4" w:space="0"/>
              <w:bottom w:val="single" w:color="000000" w:sz="4" w:space="0"/>
              <w:right w:val="single" w:color="000000" w:sz="4" w:space="0"/>
            </w:tcBorders>
            <w:shd w:val="clear" w:color="auto" w:fill="auto"/>
            <w:vAlign w:val="center"/>
          </w:tcPr>
          <w:p w14:paraId="68FAB6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07" w:type="pct"/>
            <w:tcBorders>
              <w:top w:val="single" w:color="auto" w:sz="4" w:space="0"/>
              <w:left w:val="single" w:color="000000" w:sz="4" w:space="0"/>
              <w:bottom w:val="single" w:color="000000" w:sz="4" w:space="0"/>
              <w:right w:val="single" w:color="000000" w:sz="4" w:space="0"/>
            </w:tcBorders>
            <w:shd w:val="clear" w:color="auto" w:fill="auto"/>
            <w:vAlign w:val="center"/>
          </w:tcPr>
          <w:p w14:paraId="7CCBF6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广济药业</w:t>
            </w:r>
          </w:p>
        </w:tc>
        <w:tc>
          <w:tcPr>
            <w:tcW w:w="534" w:type="pct"/>
            <w:tcBorders>
              <w:top w:val="single" w:color="auto" w:sz="4" w:space="0"/>
              <w:left w:val="single" w:color="000000" w:sz="4" w:space="0"/>
              <w:bottom w:val="single" w:color="000000" w:sz="4" w:space="0"/>
              <w:right w:val="single" w:color="000000" w:sz="4" w:space="0"/>
            </w:tcBorders>
            <w:shd w:val="clear" w:color="auto" w:fill="auto"/>
            <w:vAlign w:val="center"/>
          </w:tcPr>
          <w:p w14:paraId="55C785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战略规划部（投资管理部）副部长</w:t>
            </w:r>
          </w:p>
        </w:tc>
        <w:tc>
          <w:tcPr>
            <w:tcW w:w="1632" w:type="pct"/>
            <w:tcBorders>
              <w:top w:val="single" w:color="auto" w:sz="4" w:space="0"/>
              <w:left w:val="single" w:color="000000" w:sz="4" w:space="0"/>
              <w:bottom w:val="single" w:color="000000" w:sz="4" w:space="0"/>
              <w:right w:val="single" w:color="000000" w:sz="4" w:space="0"/>
            </w:tcBorders>
            <w:shd w:val="clear" w:color="auto" w:fill="auto"/>
            <w:vAlign w:val="center"/>
          </w:tcPr>
          <w:p w14:paraId="0149931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1.参与公司内部投资类项目的审核及管理工作</w:t>
            </w:r>
            <w:r>
              <w:rPr>
                <w:rFonts w:hint="eastAsia" w:ascii="仿宋_GB2312" w:hAnsi="仿宋_GB2312" w:eastAsia="仿宋_GB2312" w:cs="仿宋_GB2312"/>
                <w:i w:val="0"/>
                <w:iCs w:val="0"/>
                <w:color w:val="000000"/>
                <w:kern w:val="0"/>
                <w:sz w:val="22"/>
                <w:szCs w:val="22"/>
                <w:u w:val="none"/>
                <w:lang w:val="en-US" w:eastAsia="zh-CN" w:bidi="ar"/>
              </w:rPr>
              <w:t>(如立项报告、尽职调查报告、投资建议书、可行性报告、项目投资交易方案、合作框架协议等)</w:t>
            </w:r>
          </w:p>
          <w:p w14:paraId="11F9BD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2.</w:t>
            </w:r>
            <w:r>
              <w:rPr>
                <w:rFonts w:hint="eastAsia" w:ascii="仿宋_GB2312" w:hAnsi="仿宋_GB2312" w:eastAsia="仿宋_GB2312" w:cs="仿宋_GB2312"/>
                <w:i w:val="0"/>
                <w:iCs w:val="0"/>
                <w:color w:val="000000"/>
                <w:kern w:val="0"/>
                <w:sz w:val="22"/>
                <w:szCs w:val="22"/>
                <w:u w:val="none"/>
                <w:lang w:val="en-US" w:eastAsia="zh-CN" w:bidi="ar"/>
              </w:rPr>
              <w:t>负责对接集团相关职能部门工作，完成与公司内部其他部门、各分子公司对接工作</w:t>
            </w:r>
          </w:p>
          <w:p w14:paraId="7F1B27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w:t>
            </w:r>
            <w:r>
              <w:rPr>
                <w:rFonts w:hint="eastAsia" w:ascii="仿宋_GB2312" w:hAnsi="仿宋_GB2312" w:eastAsia="仿宋_GB2312" w:cs="仿宋_GB2312"/>
                <w:i w:val="0"/>
                <w:iCs w:val="0"/>
                <w:color w:val="000000"/>
                <w:sz w:val="22"/>
                <w:szCs w:val="22"/>
                <w:u w:val="none"/>
              </w:rPr>
              <w:t>参与公司对外投资并购项目的审核及管理工作</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如</w:t>
            </w:r>
            <w:r>
              <w:rPr>
                <w:rFonts w:hint="eastAsia" w:ascii="仿宋_GB2312" w:hAnsi="仿宋_GB2312" w:eastAsia="仿宋_GB2312" w:cs="仿宋_GB2312"/>
                <w:i w:val="0"/>
                <w:iCs w:val="0"/>
                <w:color w:val="000000"/>
                <w:sz w:val="22"/>
                <w:szCs w:val="22"/>
                <w:u w:val="none"/>
              </w:rPr>
              <w:t>尽调、可行性分析、估值分析、交易方案等</w:t>
            </w:r>
            <w:r>
              <w:rPr>
                <w:rFonts w:hint="eastAsia" w:ascii="仿宋_GB2312" w:hAnsi="仿宋_GB2312" w:eastAsia="仿宋_GB2312" w:cs="仿宋_GB2312"/>
                <w:i w:val="0"/>
                <w:iCs w:val="0"/>
                <w:color w:val="000000"/>
                <w:sz w:val="22"/>
                <w:szCs w:val="22"/>
                <w:u w:val="none"/>
                <w:lang w:eastAsia="zh-CN"/>
              </w:rPr>
              <w:t>）</w:t>
            </w:r>
          </w:p>
          <w:p w14:paraId="140292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4</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kern w:val="0"/>
                <w:sz w:val="22"/>
                <w:szCs w:val="22"/>
                <w:u w:val="none"/>
                <w:lang w:val="en-US" w:eastAsia="zh-CN" w:bidi="ar"/>
              </w:rPr>
              <w:t>跟踪宏观经济形势、行业发展趋势，收集行业相关资料和信息，</w:t>
            </w:r>
            <w:r>
              <w:rPr>
                <w:rFonts w:hint="eastAsia" w:ascii="仿宋_GB2312" w:hAnsi="仿宋_GB2312" w:eastAsia="仿宋_GB2312" w:cs="仿宋_GB2312"/>
                <w:i w:val="0"/>
                <w:iCs w:val="0"/>
                <w:color w:val="000000"/>
                <w:sz w:val="22"/>
                <w:szCs w:val="22"/>
                <w:u w:val="none"/>
                <w:lang w:val="en-US" w:eastAsia="zh-CN"/>
              </w:rPr>
              <w:t>审核</w:t>
            </w:r>
            <w:r>
              <w:rPr>
                <w:rFonts w:hint="eastAsia" w:ascii="仿宋_GB2312" w:hAnsi="仿宋_GB2312" w:eastAsia="仿宋_GB2312" w:cs="仿宋_GB2312"/>
                <w:i w:val="0"/>
                <w:iCs w:val="0"/>
                <w:color w:val="000000"/>
                <w:kern w:val="0"/>
                <w:sz w:val="22"/>
                <w:szCs w:val="22"/>
                <w:u w:val="none"/>
                <w:lang w:val="en-US" w:eastAsia="zh-CN" w:bidi="ar"/>
              </w:rPr>
              <w:t>战略投资分析报告</w:t>
            </w:r>
          </w:p>
          <w:p w14:paraId="5A6BFA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sz w:val="22"/>
                <w:szCs w:val="22"/>
                <w:u w:val="none"/>
                <w:lang w:val="en-US" w:eastAsia="zh-CN"/>
              </w:rPr>
              <w:t>5</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kern w:val="0"/>
                <w:sz w:val="22"/>
                <w:szCs w:val="22"/>
                <w:u w:val="none"/>
                <w:lang w:val="en-US" w:eastAsia="zh-CN" w:bidi="ar"/>
              </w:rPr>
              <w:t>审核公司专业投资决策会上会资料，根据专业投资决策会会议记录和专业投资决策会委员的意见以及项目批复意见的反馈，指导项目专班或分子公司修改后资料</w:t>
            </w:r>
          </w:p>
          <w:p w14:paraId="332CCC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6,负责公司重点投资项目的投中投后管理工作，审核投后管理报告，及时向领导反馈项目运行情况</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sz w:val="22"/>
                <w:szCs w:val="22"/>
                <w:u w:val="none"/>
              </w:rPr>
              <w:t>完成领导交办的其他投资相关工作</w:t>
            </w:r>
          </w:p>
        </w:tc>
        <w:tc>
          <w:tcPr>
            <w:tcW w:w="1152" w:type="pct"/>
            <w:tcBorders>
              <w:top w:val="single" w:color="auto" w:sz="4" w:space="0"/>
              <w:left w:val="single" w:color="000000" w:sz="4" w:space="0"/>
              <w:bottom w:val="single" w:color="000000" w:sz="4" w:space="0"/>
              <w:right w:val="single" w:color="000000" w:sz="4" w:space="0"/>
            </w:tcBorders>
            <w:shd w:val="clear" w:color="auto" w:fill="auto"/>
            <w:vAlign w:val="center"/>
          </w:tcPr>
          <w:p w14:paraId="35AFB0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1.年龄原则上不超过40周岁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rPr>
              <w:t>硕士以上学历，金融相关专业或生物医药相关专业</w:t>
            </w:r>
          </w:p>
          <w:p w14:paraId="4FC088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US" w:eastAsia="zh-CN"/>
              </w:rPr>
              <w:t>2</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sz w:val="22"/>
                <w:szCs w:val="22"/>
                <w:u w:val="none"/>
                <w:lang w:val="en-US" w:eastAsia="zh-CN"/>
              </w:rPr>
              <w:t>4</w:t>
            </w:r>
            <w:r>
              <w:rPr>
                <w:rFonts w:hint="eastAsia" w:ascii="仿宋_GB2312" w:hAnsi="仿宋_GB2312" w:eastAsia="仿宋_GB2312" w:cs="仿宋_GB2312"/>
                <w:i w:val="0"/>
                <w:iCs w:val="0"/>
                <w:color w:val="000000"/>
                <w:sz w:val="22"/>
                <w:szCs w:val="22"/>
                <w:u w:val="none"/>
              </w:rPr>
              <w:t>年以上</w:t>
            </w:r>
            <w:r>
              <w:rPr>
                <w:rFonts w:hint="eastAsia" w:ascii="仿宋_GB2312" w:hAnsi="仿宋_GB2312" w:eastAsia="仿宋_GB2312" w:cs="仿宋_GB2312"/>
                <w:i w:val="0"/>
                <w:iCs w:val="0"/>
                <w:color w:val="000000"/>
                <w:sz w:val="22"/>
                <w:szCs w:val="22"/>
                <w:u w:val="none"/>
                <w:lang w:val="en-US" w:eastAsia="zh-CN"/>
              </w:rPr>
              <w:t>相关工作</w:t>
            </w:r>
            <w:r>
              <w:rPr>
                <w:rFonts w:hint="eastAsia" w:ascii="仿宋_GB2312" w:hAnsi="仿宋_GB2312" w:eastAsia="仿宋_GB2312" w:cs="仿宋_GB2312"/>
                <w:i w:val="0"/>
                <w:iCs w:val="0"/>
                <w:color w:val="000000"/>
                <w:sz w:val="22"/>
                <w:szCs w:val="22"/>
                <w:u w:val="none"/>
              </w:rPr>
              <w:t>经验</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有医药产业投资相关工作经验可放宽相关工作年限</w:t>
            </w:r>
            <w:r>
              <w:rPr>
                <w:rFonts w:hint="eastAsia" w:ascii="仿宋_GB2312" w:hAnsi="仿宋_GB2312" w:eastAsia="仿宋_GB2312" w:cs="仿宋_GB2312"/>
                <w:i w:val="0"/>
                <w:iCs w:val="0"/>
                <w:color w:val="000000"/>
                <w:sz w:val="22"/>
                <w:szCs w:val="22"/>
                <w:u w:val="none"/>
                <w:lang w:eastAsia="zh-CN"/>
              </w:rPr>
              <w:t>）</w:t>
            </w:r>
          </w:p>
          <w:p w14:paraId="15F218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w:t>
            </w:r>
            <w:r>
              <w:rPr>
                <w:rFonts w:hint="eastAsia" w:ascii="仿宋_GB2312" w:hAnsi="仿宋_GB2312" w:eastAsia="仿宋_GB2312" w:cs="仿宋_GB2312"/>
                <w:i w:val="0"/>
                <w:iCs w:val="0"/>
                <w:color w:val="000000"/>
                <w:sz w:val="22"/>
                <w:szCs w:val="22"/>
                <w:u w:val="none"/>
              </w:rPr>
              <w:t>.有CPA、CFA证书的优先考虑，有成功的投资并购项目经验优先</w:t>
            </w:r>
          </w:p>
        </w:tc>
        <w:tc>
          <w:tcPr>
            <w:tcW w:w="524" w:type="pct"/>
            <w:tcBorders>
              <w:top w:val="single" w:color="auto" w:sz="4" w:space="0"/>
              <w:left w:val="single" w:color="000000" w:sz="4" w:space="0"/>
              <w:bottom w:val="single" w:color="000000" w:sz="4" w:space="0"/>
              <w:right w:val="single" w:color="000000" w:sz="4" w:space="0"/>
            </w:tcBorders>
            <w:shd w:val="clear" w:color="auto" w:fill="auto"/>
            <w:vAlign w:val="center"/>
          </w:tcPr>
          <w:p w14:paraId="6C626B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3" w:type="pct"/>
            <w:tcBorders>
              <w:top w:val="single" w:color="auto" w:sz="4" w:space="0"/>
              <w:left w:val="single" w:color="000000" w:sz="4" w:space="0"/>
              <w:bottom w:val="single" w:color="000000" w:sz="4" w:space="0"/>
              <w:right w:val="single" w:color="000000" w:sz="4" w:space="0"/>
            </w:tcBorders>
            <w:shd w:val="clear" w:color="auto" w:fill="auto"/>
            <w:vAlign w:val="center"/>
          </w:tcPr>
          <w:p w14:paraId="5E2EC6C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205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87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9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广济药业</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9E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投资专员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3D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1.协助部门领导建立与完善投资管理相关制度和流程，及时向下属分子公司传达投资管理制度和相关投资决策流程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2.完成项目现场尽调工作，按照投资决策流程要求制作投资项目相关文件(如立项报告、尽职调查报告、投资建议书、可行性报告、项目投资交易方案、合作框架协议等)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3.负责对接集团相关职能部门完成日常项目信息的提交，完成与公司内部其他部门、各分子公司相关事项的日常对接工作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4.跟踪宏观经济形势、行业发展趋势，收集行业相关资料和信息，协助部门领导拟定战略投资分析报告</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5.协助部门领导完成公司专业投资决策会上会资料的审核工作，做好专业投资决策会会议记录，专业投资决策会委员的意见以及项目批复意见的反馈，及时指导项目专班或分子公司完成修改后资料的提交备案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6,负责公司投资项目立项批复意见、立项报告、可行性研究报告、项目投资建议书、项目财务尽调报告、项目法律尽调报告、项目投资协议等重要材料的保管、项目信息存储工作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7.负责公司重点投资项目的投中投后管理工作，拟定投后管理报告，做好投后评价报告的备案，及时向领导反馈项目运行情况</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8.完成领导交办的其他相关任务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A0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rPr>
              <w:t>1.年龄原则上</w:t>
            </w:r>
            <w:r>
              <w:rPr>
                <w:rFonts w:hint="eastAsia" w:ascii="仿宋_GB2312" w:hAnsi="仿宋_GB2312" w:eastAsia="仿宋_GB2312" w:cs="仿宋_GB2312"/>
                <w:i w:val="0"/>
                <w:iCs w:val="0"/>
                <w:color w:val="000000"/>
                <w:sz w:val="22"/>
                <w:szCs w:val="22"/>
                <w:highlight w:val="none"/>
                <w:u w:val="none"/>
              </w:rPr>
              <w:t>不超过40周岁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医药类、财务类、经济类、金融类等相关专业，硕士及以上学历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2.3年以上相关工作经验，熟悉国家有关投资法律法规，熟悉财务、投资等相关知识，熟悉投资业务知识</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95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77D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515C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A8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9E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济康公司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05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销售助理</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E9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1.协助销售总监制定公司年度目标，完成公司销售任务</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2.医院系统产品资质维护、订单处理、结算资料准备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3.负责销售合同签订、医院对账、回款跟进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4.与下游客户建立良好关系，协调售前售后各种疑难问题，确保为客户提供及时、优质的服务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70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1.年龄40周岁以内；硕士及以上学历，医学专业毕业优先（具备丰富销售经验的可适当放宽）</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2.有1年以上相关岗位经验，熟悉医疗行业的相关政策</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B6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CD9D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3BB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DE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DEE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生物研究院</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01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菌种研究员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CE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1.遵守相关的研发规定，合理、正确使用研发设备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2.在产品研发制造过程中，总结研发时产生的经验教训，不断提高研发效率和质量</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0A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1.年龄40周岁以内；硕士及以上学历，分子生物学相关专业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2.熟悉实验室环境，且能够熟练运用实验室多数仪器设备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3.性格要求开朗、善于沟通、做事条理性强</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4.3年以上相关工作经验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2FF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5A1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bl>
    <w:p w14:paraId="0C3138F3"/>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52296"/>
    <w:rsid w:val="10A5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2025-06-04T02:35:00Z</dcterms:created>
  <dc:creator>lwk</dc:creator>
  <cp:lastModifiedBy>lwk</cp:lastModifiedBy>
  <dcterms:modified xsi:type="dcterms:W3CDTF">2025-06-04T02:36:13Z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553F6CD3CD534BEDA66E9981EC0B8C34_11</vt:lpwstr>
  </property>
  <property fmtid="{D5CDD505-2E9C-101B-9397-08002B2CF9AE}" pid="4" name="KSOTemplateDocerSaveRecord">
    <vt:lpwstr>eyJoZGlkIjoiOWM2OWIyZmY5MDliOTBhNGRhYmE0NjU1N2VkZWEzYjgiLCJ1c2VySWQiOiI2MDg1NjEyMjIifQ==</vt:lpwstr>
  </property>
</Properties>
</file>