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57B1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sz w:val="28"/>
          <w:szCs w:val="28"/>
          <w:lang w:val="en-US" w:eastAsia="zh-CN"/>
        </w:rPr>
      </w:pPr>
      <w:bookmarkStart w:id="0" w:name="_GoBack"/>
      <w:bookmarkEnd w:id="0"/>
      <w:r>
        <w:rPr>
          <w:rFonts w:hint="eastAsia" w:ascii="黑体" w:hAnsi="黑体" w:eastAsia="黑体" w:cs="黑体"/>
          <w:color w:val="auto"/>
          <w:sz w:val="28"/>
          <w:szCs w:val="28"/>
          <w:lang w:val="en-US" w:eastAsia="zh-CN"/>
        </w:rPr>
        <w:t>附件1：</w:t>
      </w:r>
    </w:p>
    <w:p w14:paraId="16FABD0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南安市属国有企业简介</w:t>
      </w:r>
    </w:p>
    <w:p w14:paraId="66A5A5F7">
      <w:pPr>
        <w:keepNext w:val="0"/>
        <w:keepLines w:val="0"/>
        <w:pageBreakBefore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color w:val="auto"/>
          <w:kern w:val="2"/>
          <w:sz w:val="32"/>
          <w:szCs w:val="32"/>
          <w:lang w:val="en-US" w:eastAsia="zh-CN" w:bidi="ar-SA"/>
        </w:rPr>
      </w:pPr>
    </w:p>
    <w:p w14:paraId="577B2AB1">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一、南安市能源工贸投资发展集团有限公司</w:t>
      </w:r>
      <w:r>
        <w:rPr>
          <w:rFonts w:hint="eastAsia" w:ascii="Times New Roman" w:hAnsi="Times New Roman" w:eastAsia="仿宋_GB2312" w:cs="Times New Roman"/>
          <w:b w:val="0"/>
          <w:bCs w:val="0"/>
          <w:color w:val="auto"/>
          <w:kern w:val="2"/>
          <w:sz w:val="32"/>
          <w:szCs w:val="32"/>
          <w:lang w:val="en-US" w:eastAsia="zh-CN" w:bidi="ar-SA"/>
        </w:rPr>
        <w:t>（简称：能源工贸集团），于2020 年合并重组设立，现有权属二级子公司23家、三级子公司（含控股）27家。拥有一家AA+、两家AA主体信用评级企业，具备城市开发和基础设施建设规划设计到运营的全过程、全产业链经营能力，形成“产城开发运营、金融贸易、智慧能源、医疗健康、资产运营、公用事业”等6大板块，已发展成为具备较强综合实力和核心竞争力的综合性实体化集团</w:t>
      </w:r>
      <w:r>
        <w:rPr>
          <w:rFonts w:hint="eastAsia" w:ascii="Times New Roman" w:hAnsi="Times New Roman" w:eastAsia="仿宋_GB2312" w:cs="Times New Roman"/>
          <w:color w:val="auto"/>
          <w:kern w:val="2"/>
          <w:sz w:val="32"/>
          <w:szCs w:val="32"/>
          <w:lang w:val="en-US" w:eastAsia="zh-CN" w:bidi="ar-SA"/>
        </w:rPr>
        <w:t>。</w:t>
      </w:r>
    </w:p>
    <w:p w14:paraId="7CB1B0DD">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color w:val="auto"/>
        </w:rPr>
      </w:pPr>
      <w:r>
        <w:rPr>
          <w:rFonts w:hint="eastAsia" w:ascii="仿宋_GB2312" w:hAnsi="仿宋_GB2312" w:eastAsia="仿宋_GB2312" w:cs="仿宋_GB2312"/>
          <w:b/>
          <w:bCs/>
          <w:color w:val="auto"/>
          <w:sz w:val="32"/>
          <w:szCs w:val="40"/>
          <w:lang w:val="en-US" w:eastAsia="zh-CN"/>
        </w:rPr>
        <w:t>二、泉州市南翼投资集团有限公司</w:t>
      </w:r>
      <w:r>
        <w:rPr>
          <w:rFonts w:hint="eastAsia" w:ascii="仿宋_GB2312" w:hAnsi="仿宋_GB2312" w:eastAsia="仿宋_GB2312" w:cs="仿宋_GB2312"/>
          <w:color w:val="auto"/>
          <w:sz w:val="32"/>
          <w:szCs w:val="40"/>
          <w:lang w:val="en-US" w:eastAsia="zh-CN"/>
        </w:rPr>
        <w:t>（简称：南翼集团），注册资金50亿元，致力于打造成为福建省有影响力的高品质城乡开发建设与运营服务商。2021年，集团整合重组，成为南安市首家AA+主体信用评级的地方国企，至2024年末总资产约350亿元。集团现下有一级子公司11家，总部设立7个部门，集团总体业务布局划分为城乡开发建设、建筑工程、教育、贸易物流、资产运营与投资等5大业务板块。</w:t>
      </w:r>
    </w:p>
    <w:p w14:paraId="09C28C39">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b w:val="0"/>
          <w:color w:val="auto"/>
          <w:kern w:val="2"/>
          <w:sz w:val="32"/>
          <w:szCs w:val="40"/>
          <w:lang w:val="en-US" w:eastAsia="zh-CN" w:bidi="ar-SA"/>
        </w:rPr>
      </w:pPr>
      <w:r>
        <w:rPr>
          <w:rFonts w:hint="eastAsia" w:ascii="仿宋_GB2312" w:hAnsi="仿宋_GB2312" w:eastAsia="仿宋_GB2312" w:cs="仿宋_GB2312"/>
          <w:b/>
          <w:bCs/>
          <w:color w:val="auto"/>
          <w:sz w:val="32"/>
          <w:szCs w:val="40"/>
          <w:lang w:val="en-US" w:eastAsia="zh-CN"/>
        </w:rPr>
        <w:t>三、南安市园区开发建设集团有限责任公司</w:t>
      </w:r>
      <w:r>
        <w:rPr>
          <w:rFonts w:hint="eastAsia" w:ascii="仿宋_GB2312" w:hAnsi="仿宋_GB2312" w:eastAsia="仿宋_GB2312" w:cs="仿宋_GB2312"/>
          <w:color w:val="auto"/>
          <w:sz w:val="32"/>
          <w:szCs w:val="40"/>
          <w:lang w:val="en-US" w:eastAsia="zh-CN"/>
        </w:rPr>
        <w:t>（简称：园区集团）成立于2017年，注册资本10亿元。集团以产业园区建设运营服务商为战略定位，深耕园区资产经营、公共配套建设、产业投资等业务，下辖二级权属公司7家，参股20家企业（含2支产业基金），形成“开发-运营-投资”全链条服务体系。</w:t>
      </w:r>
    </w:p>
    <w:p w14:paraId="372692AE">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四、福建省南安市文体旅发展集团有限公司</w:t>
      </w:r>
      <w:r>
        <w:rPr>
          <w:rFonts w:hint="eastAsia" w:ascii="Times New Roman" w:hAnsi="Times New Roman" w:cs="Times New Roman"/>
          <w:color w:val="auto"/>
          <w:sz w:val="32"/>
          <w:szCs w:val="32"/>
          <w:lang w:val="en-US" w:eastAsia="zh-CN"/>
        </w:rPr>
        <w:t>（简称：文体旅集团），于2021年7月成立，注册资本10亿元，下辖16家权属公司。集团立足南安市文体旅产业定位，通过“产业运营+战略投资”双轮驱动，以文体旅融合发展为核心，以资源整合、开发建设、运营管理、IP打造为抓手，发挥投融资、产业运营、项目开发三大平台作用，打造文体旅新业态、新模式，优化文体旅产业布局，完善文体旅产品、文体旅市场服务体系，做大做强做优文体旅经济，致力打造具有地方特色的现代化文体旅企业。</w:t>
      </w:r>
    </w:p>
    <w:p w14:paraId="2B4F65A8">
      <w:pPr>
        <w:keepNext w:val="0"/>
        <w:keepLines w:val="0"/>
        <w:pageBreakBefore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五、</w:t>
      </w:r>
      <w:r>
        <w:rPr>
          <w:rFonts w:hint="default" w:ascii="Times New Roman" w:hAnsi="Times New Roman" w:eastAsia="仿宋_GB2312" w:cs="Times New Roman"/>
          <w:b/>
          <w:bCs/>
          <w:color w:val="auto"/>
          <w:kern w:val="2"/>
          <w:sz w:val="32"/>
          <w:szCs w:val="32"/>
          <w:lang w:val="en-US" w:eastAsia="zh-CN" w:bidi="ar-SA"/>
        </w:rPr>
        <w:t>南安市城乡水务集团有限公司</w:t>
      </w:r>
      <w:r>
        <w:rPr>
          <w:rFonts w:hint="eastAsia" w:ascii="Times New Roman" w:hAnsi="Times New Roman" w:eastAsia="仿宋_GB2312" w:cs="Times New Roman"/>
          <w:color w:val="auto"/>
          <w:kern w:val="2"/>
          <w:sz w:val="32"/>
          <w:szCs w:val="32"/>
          <w:lang w:val="en-US" w:eastAsia="zh-CN" w:bidi="ar-SA"/>
        </w:rPr>
        <w:t>（简称：水务集团）成立于2020年12月，注册资本5亿元，拥有建筑工程施工总承包二级、市政公用工程施工总承包二级、水利水电工程施工总承包二级资质，业务覆盖市政供水、污水处理、工程施工、水质检测、高品质净水等五大板块。</w:t>
      </w:r>
    </w:p>
    <w:p w14:paraId="6D86F343">
      <w:pPr>
        <w:keepNext w:val="0"/>
        <w:keepLines w:val="0"/>
        <w:pageBreakBefore w:val="0"/>
        <w:kinsoku/>
        <w:wordWrap/>
        <w:overflowPunct/>
        <w:topLinePunct w:val="0"/>
        <w:autoSpaceDE/>
        <w:autoSpaceDN/>
        <w:bidi w:val="0"/>
        <w:adjustRightInd/>
        <w:snapToGrid/>
        <w:spacing w:line="500" w:lineRule="exact"/>
        <w:textAlignment w:val="auto"/>
        <w:rPr>
          <w:rFonts w:hint="eastAsia"/>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357D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65058">
                          <w:pPr>
                            <w:pStyle w:val="5"/>
                            <w:rPr>
                              <w:rStyle w:val="11"/>
                              <w:rFonts w:hint="eastAsia"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3</w:t>
                          </w:r>
                          <w:r>
                            <w:rPr>
                              <w:rFonts w:ascii="宋体" w:hAnsi="宋体"/>
                              <w:sz w:val="28"/>
                              <w:szCs w:val="28"/>
                            </w:rPr>
                            <w:fldChar w:fldCharType="end"/>
                          </w:r>
                          <w:r>
                            <w:rPr>
                              <w:rStyle w:val="11"/>
                              <w:rFonts w:hint="eastAsia" w:ascii="宋体" w:hAnsi="宋体"/>
                              <w:sz w:val="28"/>
                              <w:szCs w:val="28"/>
                            </w:rPr>
                            <w:t xml:space="preserve"> —</w:t>
                          </w:r>
                        </w:p>
                        <w:p w14:paraId="54872BA3">
                          <w:pPr>
                            <w:pStyle w:val="5"/>
                            <w:ind w:right="360" w:firstLine="360"/>
                            <w:jc w:val="right"/>
                            <w:rPr>
                              <w:rFonts w:ascii="宋体" w:hAnsi="宋体"/>
                              <w:sz w:val="28"/>
                              <w:szCs w:val="28"/>
                            </w:rPr>
                          </w:pPr>
                        </w:p>
                        <w:p w14:paraId="2ACAD48D">
                          <w:pPr>
                            <w:pStyle w:val="5"/>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765058">
                    <w:pPr>
                      <w:pStyle w:val="5"/>
                      <w:rPr>
                        <w:rStyle w:val="11"/>
                        <w:rFonts w:hint="eastAsia"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3</w:t>
                    </w:r>
                    <w:r>
                      <w:rPr>
                        <w:rFonts w:ascii="宋体" w:hAnsi="宋体"/>
                        <w:sz w:val="28"/>
                        <w:szCs w:val="28"/>
                      </w:rPr>
                      <w:fldChar w:fldCharType="end"/>
                    </w:r>
                    <w:r>
                      <w:rPr>
                        <w:rStyle w:val="11"/>
                        <w:rFonts w:hint="eastAsia" w:ascii="宋体" w:hAnsi="宋体"/>
                        <w:sz w:val="28"/>
                        <w:szCs w:val="28"/>
                      </w:rPr>
                      <w:t xml:space="preserve"> —</w:t>
                    </w:r>
                  </w:p>
                  <w:p w14:paraId="54872BA3">
                    <w:pPr>
                      <w:pStyle w:val="5"/>
                      <w:ind w:right="360" w:firstLine="360"/>
                      <w:jc w:val="right"/>
                      <w:rPr>
                        <w:rFonts w:ascii="宋体" w:hAnsi="宋体"/>
                        <w:sz w:val="28"/>
                        <w:szCs w:val="28"/>
                      </w:rPr>
                    </w:pPr>
                  </w:p>
                  <w:p w14:paraId="2ACAD48D">
                    <w:pPr>
                      <w:pStyle w:val="5"/>
                      <w:rPr>
                        <w:rFonts w:hint="eastAsia" w:eastAsiaTheme="minorEastAsia"/>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363ED"/>
    <w:rsid w:val="0DCA000E"/>
    <w:rsid w:val="18A360DF"/>
    <w:rsid w:val="26A4015C"/>
    <w:rsid w:val="2A585CB7"/>
    <w:rsid w:val="32C8222E"/>
    <w:rsid w:val="39912024"/>
    <w:rsid w:val="3B49797C"/>
    <w:rsid w:val="3CB56059"/>
    <w:rsid w:val="3D4F5B12"/>
    <w:rsid w:val="45CA72EB"/>
    <w:rsid w:val="468D57CC"/>
    <w:rsid w:val="4EC51EEE"/>
    <w:rsid w:val="54CF1C38"/>
    <w:rsid w:val="60D8397F"/>
    <w:rsid w:val="7520730F"/>
    <w:rsid w:val="7B66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rPr>
      <w:kern w:val="0"/>
      <w:sz w:val="20"/>
      <w:szCs w:val="20"/>
    </w:rPr>
  </w:style>
  <w:style w:type="paragraph" w:styleId="3">
    <w:name w:val="Body Text"/>
    <w:basedOn w:val="1"/>
    <w:qFormat/>
    <w:uiPriority w:val="0"/>
    <w:pPr>
      <w:spacing w:after="120"/>
      <w:ind w:firstLine="0" w:firstLineChars="0"/>
      <w:jc w:val="both"/>
    </w:pPr>
    <w:rPr>
      <w:rFonts w:ascii="Times New Roman" w:hAnsi="Times New Roman" w:eastAsia="宋体" w:cs="Times New Roman"/>
      <w:kern w:val="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styleId="10">
    <w:name w:val="Strong"/>
    <w:basedOn w:val="9"/>
    <w:qFormat/>
    <w:uiPriority w:val="0"/>
    <w:rPr>
      <w:b/>
    </w:rPr>
  </w:style>
  <w:style w:type="character" w:styleId="11">
    <w:name w:val="page number"/>
    <w:qFormat/>
    <w:uiPriority w:val="0"/>
  </w:style>
  <w:style w:type="paragraph" w:customStyle="1" w:styleId="12">
    <w:name w:val="公文正文"/>
    <w:basedOn w:val="1"/>
    <w:qFormat/>
    <w:uiPriority w:val="0"/>
    <w:pPr>
      <w:spacing w:line="560" w:lineRule="exact"/>
      <w:ind w:firstLine="714" w:firstLineChars="200"/>
    </w:pPr>
    <w:rPr>
      <w:rFonts w:ascii="仿宋_GB2312" w:hAnsi="仿宋_GB2312" w:eastAsia="仿宋_GB2312"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846</Words>
  <Characters>881</Characters>
  <Lines>0</Lines>
  <Paragraphs>0</Paragraphs>
  <TotalTime>5</TotalTime>
  <ScaleCrop>false</ScaleCrop>
  <LinksUpToDate>false</LinksUpToDate>
  <CharactersWithSpaces>882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2025-04-28T03:26:00Z</dcterms:created>
  <dc:creator>Administrator</dc:creator>
  <cp:lastModifiedBy>阿鬼〰</cp:lastModifiedBy>
  <cp:lastPrinted>2025-05-13T08:40:00Z</cp:lastPrinted>
  <dcterms:modified xsi:type="dcterms:W3CDTF">2025-05-21T03:16:16Z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eyJoZGlkIjoiY2I1YjhiOWYxNGEyNTkzMjFjOGNjYjI3NWQyZjMxMTMiLCJ1c2VySWQiOiI1MDU2MjI1MjcifQ==</vt:lpwstr>
  </property>
  <property fmtid="{D5CDD505-2E9C-101B-9397-08002B2CF9AE}" pid="4" name="ICV">
    <vt:lpwstr>DF569DD9C31743E790D5E2F939FB672A_12</vt:lpwstr>
  </property>
</Properties>
</file>