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35" w:type="dxa"/>
        <w:tblInd w:w="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80"/>
        <w:gridCol w:w="1035"/>
        <w:gridCol w:w="780"/>
        <w:gridCol w:w="840"/>
        <w:gridCol w:w="750"/>
        <w:gridCol w:w="705"/>
        <w:gridCol w:w="3360"/>
        <w:gridCol w:w="675"/>
        <w:gridCol w:w="660"/>
        <w:gridCol w:w="705"/>
        <w:gridCol w:w="750"/>
        <w:gridCol w:w="810"/>
        <w:gridCol w:w="750"/>
        <w:gridCol w:w="825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8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4"/>
                <w:lang w:bidi="ar"/>
              </w:rPr>
              <w:t>附件1：</w:t>
            </w:r>
          </w:p>
        </w:tc>
        <w:tc>
          <w:tcPr>
            <w:tcW w:w="1035" w:type="dxa"/>
            <w:noWrap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675" w:type="dxa"/>
            <w:noWrap/>
            <w:vAlign w:val="bottom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750" w:type="dxa"/>
            <w:noWrap/>
            <w:vAlign w:val="bottom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810" w:type="dxa"/>
            <w:noWrap/>
            <w:vAlign w:val="bottom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750" w:type="dxa"/>
            <w:noWrap w:val="0"/>
            <w:vAlign w:val="bottom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825" w:type="dxa"/>
            <w:noWrap w:val="0"/>
            <w:vAlign w:val="bottom"/>
          </w:tcPr>
          <w:p>
            <w:pPr>
              <w:rPr>
                <w:rFonts w:ascii="等线" w:hAnsi="等线"/>
                <w:szCs w:val="22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rPr>
                <w:rFonts w:ascii="等线" w:hAnsi="等线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35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  <w:lang w:bidi="ar"/>
              </w:rPr>
              <w:t>2025年洞口县卫生健康局下属事业单位公开招聘专业技术人员岗位表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岗位序号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  单位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面试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入围面试比例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笔试与面试占综合成绩比例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报名及考试咨询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差额事业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中医骨伤科医师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2.中医学、中西医临床医学、中医骨伤科学、中医外科学、中西医结合临床专业；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3.本科以上学历，学士以上学位；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4.2022年以前毕业的须取得中医外科执业医师证。    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0739-7140335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差额事业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泌尿外科医师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1.1995年1月1日以后出生；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2.临床医学、外科学专业；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3.本科以上学历，学士以上学位。    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0739-7140335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差额事业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针灸推拿医师  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2.针灸推拿学专业；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3.本科以上学历，学士以上学位；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4.2022年以前毕业的须取得外科执业医师证；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5.需在2025年12月前取得住院医师规范化培训合格证。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0739-7140335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洞口县中医医院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差额事业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1.1995年1月1日以后出生；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2.中医学、中西医临床医学、中医内科学、中医外科学、中医骨伤科学专业；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3.本科及以上学历，学士及以上学位。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0739-7140335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洞口县疾病预防控制中心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公卫医师1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1.1995年1月1日以后出生；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2.预防医学、公共卫生硕士专业；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3.本科以上学历，学士以上学位。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罗军梅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0739-7222608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洞口县疾病预防控制中心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公卫医师2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1.1995年1月1日以后出生；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2.临床医学、临床医学硕士专业；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3.本科以上学历，学士以上学位。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罗军梅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0739-7222608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2.中医学、 中西医临床医学、中                   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西医结合临床专业；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3.本科以上学历，学士以上学位；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4.2022年及以前毕业的须取得中医执业医师资格证。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李水红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0739-7141475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麻醉医师        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1.1995年1月1日以后出生；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2.临床医学、麻醉学专业；  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3.本科以上学历，学士以上学位。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李水红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0739-7141475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洞口县妇幼保健计划生育服务中心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1.1995年1月1日以后出生；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2.药学、药物制剂、药学硕士专业；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3.本科以上学历，学士以上学位。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李水红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0739-7141475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中医医师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2.中医学、针灸推拿 、中医骨伤、                       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针灸推拿学、中医骨伤科学、中医儿科学、中医硕士专业；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3.大专以上学历；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4.2022年及以前毕业的须取得中医执业助理医师资格证。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彭武军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0739-7130178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2.临床医学、中西医临床医学、临床医学硕士专业；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3.大专以上学历；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4.2022年及以前毕业的须取得执业助理医师资格证。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彭武军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0739-7130178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公卫医师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1.1995年1月1日以后出生；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2.预防医学、公共卫生管理、公共卫生硕士专业；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3.大专以上学历。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彭武军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0739-7130178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康复技师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1.1995年1月1日以后出生；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2.康复治疗技术、中医康复技术、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康复治疗学、康复医学与理疗学专业；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3.大专以上学历。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彭武军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0739-7130178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2.药学、临床药学、药学硕士专业；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3.大专以上学历；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4.2022年及以前毕业的须取得药学资格证。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彭武军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0739-7130178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2.医学检验技术、医学技术专业；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3.大专以上学历；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4.2022年及以前毕业的须取得检验资格证。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彭武军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0739-7130178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洞口县卫生健康局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乡镇卫生院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1.1997年1月1日以后出生；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2.护理类专业；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3.大专以上学历；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4.具有护士资格证，2025年毕业生体检前须提供护士资格合格成绩单。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专业问答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1︰2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彭武军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0739-7130178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应届高校毕业生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限洞口县户籍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5135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备注：1.岗位专业参照《湖南省2025年考试录用公务员专业指导目录》；2.所有学历中的“以上”都包含本层次学历在内，所有年限中的“以后”、“以前”都包含当前年限在内；3.应届高校毕业生”是指：2025年应届高校毕业生以及2023、2024届尚未落实编制内工作的高校毕业生。4.限“洞口县户籍”的，报名人员需出具下列证明材料之一：A、本人属洞口县户籍的，提供户口簿原件（或公安部门出具的户籍证明）；B、配偶是洞口县户籍的，提供结婚证原件及配偶的户口簿原件（或公安部门出具的户籍证明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5.面试内容：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符合招聘岗位条件的专业知识及相关专业技能知识。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2ED82001"/>
    <w:rsid w:val="2ED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2025-05-15T08:25:00Z</dcterms:created>
  <dc:creator>旧时光·不见旧人</dc:creator>
  <cp:lastModifiedBy>旧时光·不见旧人</cp:lastModifiedBy>
  <dcterms:modified xsi:type="dcterms:W3CDTF">2025-05-15T08:26:11Z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18DA2132567D43EEA63CC6FEA78E2159_11</vt:lpwstr>
  </property>
</Properties>
</file>